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D83A" w14:textId="77777777" w:rsidR="00BC2CD8" w:rsidRDefault="00BC2CD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Praktikmål -hjælpeskema</w:t>
      </w:r>
    </w:p>
    <w:p w14:paraId="71E5E2B0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366DEE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Praktik 3 – Somatisk sygepleje og rehabilitering i det sammenhængende sundhedsvæsen </w:t>
      </w:r>
    </w:p>
    <w:p w14:paraId="1223FDD5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9CD9AF7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Hjælpeskemaet anvendes i alle praktikperioder, og anvendes løbende af elev og vejleder i praktikken.</w:t>
      </w:r>
    </w:p>
    <w:p w14:paraId="2FBEAD41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10960F1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3a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vurderer</w:t>
      </w:r>
      <w:r>
        <w:rPr>
          <w:rFonts w:ascii="Verdana" w:hAnsi="Verdana" w:cs="Calibri"/>
          <w:sz w:val="22"/>
          <w:szCs w:val="22"/>
        </w:rPr>
        <w:t xml:space="preserve"> praktikvejlederen i hvilket omfang praktikmålene er nået i forhold til det forventede niveau, så det medvirker til at udgøre grundlaget for elevens læring.</w:t>
      </w:r>
    </w:p>
    <w:p w14:paraId="1FD8DE96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5DDFDC95" w14:textId="77777777" w:rsidR="00400C06" w:rsidRPr="00B74C8A" w:rsidRDefault="000203EF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3b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praktikvejlederen om den samlede praktikperiode 3a og 3b er godkendt eller ikke godkendt. </w:t>
      </w:r>
      <w:r w:rsidR="00400C06" w:rsidRPr="00B74C8A">
        <w:rPr>
          <w:rFonts w:ascii="Verdana" w:hAnsi="Verdana" w:cs="Calibri"/>
          <w:sz w:val="22"/>
          <w:szCs w:val="22"/>
        </w:rPr>
        <w:t xml:space="preserve">(Dette gøres ved hjælp af praktikerklæring via SEVUs hjemmeside: </w:t>
      </w:r>
      <w:hyperlink r:id="rId5" w:history="1">
        <w:r w:rsidR="00400C06" w:rsidRPr="00B74C8A">
          <w:rPr>
            <w:rStyle w:val="Hyperlink"/>
            <w:rFonts w:ascii="Verdana" w:hAnsi="Verdana"/>
          </w:rPr>
          <w:t>Social- og sundhedsassistent - Alt om praktik | SEVU</w:t>
        </w:r>
      </w:hyperlink>
      <w:r w:rsidR="00400C06" w:rsidRPr="00B74C8A">
        <w:rPr>
          <w:rFonts w:ascii="Verdana" w:hAnsi="Verdana" w:cs="Calibri"/>
          <w:sz w:val="22"/>
          <w:szCs w:val="22"/>
        </w:rPr>
        <w:t>).</w:t>
      </w:r>
    </w:p>
    <w:p w14:paraId="701E33E4" w14:textId="77777777" w:rsidR="00400C06" w:rsidRPr="00B74C8A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51B9A405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59D626C3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"Generelt"-sektionen.</w:t>
      </w:r>
    </w:p>
    <w:p w14:paraId="0799E39B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35BD5FD7" w14:textId="77777777" w:rsidR="000203EF" w:rsidRDefault="000203EF" w:rsidP="000203EF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praktikmålet fremhæver det, der er særligt i fokus.</w:t>
      </w:r>
    </w:p>
    <w:p w14:paraId="3D128D3A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BC0C6E9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9B8E24" w14:textId="77777777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 xml:space="preserve">Praktik </w:t>
      </w:r>
      <w:r w:rsidR="000203EF">
        <w:rPr>
          <w:rFonts w:ascii="Verdana" w:hAnsi="Verdana" w:cs="Calibri"/>
          <w:b/>
          <w:bCs/>
          <w:sz w:val="36"/>
          <w:szCs w:val="36"/>
        </w:rPr>
        <w:t>3A</w:t>
      </w:r>
      <w:r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53A8EF71" w14:textId="77777777" w:rsidR="00BC2CD8" w:rsidRPr="00DA6960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DA6960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DA6960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12F69F57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306290F3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B858E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E4F4DDC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AD062" w14:textId="77777777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53C902D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DBCC7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0089E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7659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07984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665435B7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F858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18DC9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19F955C0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D5B78CD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5FFF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77A9F9C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Sygeplejeteorier Orlando, Henderson, Orem og Martinsen</w:t>
            </w:r>
          </w:p>
          <w:p w14:paraId="4EE1217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DCD8C9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Fordøjelse, udskillelse og ernæring</w:t>
            </w:r>
          </w:p>
          <w:p w14:paraId="4197B68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Gerontologi og hjertekredsløb</w:t>
            </w:r>
          </w:p>
          <w:p w14:paraId="744236E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Hormonsystemet</w:t>
            </w:r>
          </w:p>
          <w:p w14:paraId="2B4212C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Nyrer - urinveje</w:t>
            </w:r>
          </w:p>
          <w:p w14:paraId="20D7B06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Respirationsorganerne</w:t>
            </w:r>
          </w:p>
          <w:p w14:paraId="0D97B4F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Nervesystemet</w:t>
            </w:r>
          </w:p>
          <w:p w14:paraId="1006352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931252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D6C28A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 af borgere med psykiatrisk diagnose inkl. demens</w:t>
            </w:r>
          </w:p>
          <w:p w14:paraId="496091CB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5EDA4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C3A7EB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1B75D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7857B3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50EBF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6A3BBCE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68C8F2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F1B018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AFD9428" w14:textId="77777777" w:rsidR="00D603CC" w:rsidRPr="00596A18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9C41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79D9063" w14:textId="77777777" w:rsidR="00400C06" w:rsidRDefault="00BC2CD8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3DA0D8BD" w14:textId="77777777" w:rsidTr="00400C06">
        <w:tc>
          <w:tcPr>
            <w:tcW w:w="4942" w:type="dxa"/>
            <w:shd w:val="clear" w:color="auto" w:fill="ED7D31"/>
          </w:tcPr>
          <w:p w14:paraId="02B8F6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CE1630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75D5B4C6" w14:textId="77777777" w:rsidTr="00400C06">
        <w:tc>
          <w:tcPr>
            <w:tcW w:w="4942" w:type="dxa"/>
            <w:shd w:val="clear" w:color="auto" w:fill="auto"/>
          </w:tcPr>
          <w:p w14:paraId="5EA7A94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162FE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37CD3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C78D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8639D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864E06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101318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FA49AF3" w14:textId="77777777" w:rsidTr="00400C06">
        <w:tc>
          <w:tcPr>
            <w:tcW w:w="4942" w:type="dxa"/>
            <w:shd w:val="clear" w:color="auto" w:fill="ED7D31"/>
          </w:tcPr>
          <w:p w14:paraId="2284FAA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28FBF2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8D93212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F62B58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8DBDA54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6C0B26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3CF3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B4221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8B99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10C3FC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F06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652F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8F57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DB1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737C10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8DF7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21E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129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Ernæringsscreening</w:t>
            </w:r>
          </w:p>
          <w:p w14:paraId="5498D65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Søge information på sundhedsstyrelsens hjemmeside</w:t>
            </w:r>
          </w:p>
          <w:p w14:paraId="0664732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6A31A1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 og dokumentation</w:t>
            </w:r>
          </w:p>
          <w:p w14:paraId="4A2D3D5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4975A5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Socialpædagogisk tilgang og metoder</w:t>
            </w:r>
          </w:p>
          <w:p w14:paraId="7D72BC9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B9AAA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TOKS</w:t>
            </w:r>
          </w:p>
          <w:p w14:paraId="2ED55CC8" w14:textId="77777777" w:rsidR="007B2884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Digitale platforme fx VAR, e-dok, MMC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5256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F886B2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F82D0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87AB8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798D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AF66C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0748C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8085C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A995B6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3F05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0F4DC59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111A2E0" w14:textId="77777777" w:rsidTr="00400C06">
        <w:tc>
          <w:tcPr>
            <w:tcW w:w="4942" w:type="dxa"/>
            <w:shd w:val="clear" w:color="auto" w:fill="ED7D31"/>
          </w:tcPr>
          <w:p w14:paraId="1CB5FBA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C840DC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15B28C27" w14:textId="77777777" w:rsidTr="00400C06">
        <w:tc>
          <w:tcPr>
            <w:tcW w:w="4942" w:type="dxa"/>
            <w:shd w:val="clear" w:color="auto" w:fill="auto"/>
          </w:tcPr>
          <w:p w14:paraId="5CA2307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29E47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2EEC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2DC58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FEE86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2607F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C0D4F9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7962BAFC" w14:textId="77777777" w:rsidTr="00400C06">
        <w:tc>
          <w:tcPr>
            <w:tcW w:w="4942" w:type="dxa"/>
            <w:shd w:val="clear" w:color="auto" w:fill="ED7D31"/>
          </w:tcPr>
          <w:p w14:paraId="7DB76E2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10A0B5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BAC4B55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D2F5EF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731CDE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1D8372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50F5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919DF6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B92B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6B5911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EFD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C9E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7A4E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E06D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0D8BDE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881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1A248" w14:textId="77777777" w:rsidR="007A3D48" w:rsidRPr="003D7E0C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identificere og reagere på ændring i borgerens/patientens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sundhedstilstand. </w:t>
            </w:r>
          </w:p>
          <w:p w14:paraId="1E5B75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Ved uforudsete og komplekse problemstillinger kan eleven udføre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sygeplejehandlinger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inden for eget kompetenceområde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3F89" w14:textId="77777777" w:rsidR="003D7E0C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  <w:r w:rsidR="003D7E0C">
              <w:rPr>
                <w:rFonts w:ascii="Verdana" w:hAnsi="Verdana" w:cs="Calibri"/>
                <w:sz w:val="20"/>
                <w:szCs w:val="20"/>
              </w:rPr>
              <w:t xml:space="preserve">Grundlæggende viden om fordøjelsessystemet, hjertekredsløb, diabetes, nyrer- urinveje, respirationsorganerne, nervesystemet, gerontologi. </w:t>
            </w:r>
          </w:p>
          <w:p w14:paraId="51AF3D1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</w:t>
            </w:r>
          </w:p>
          <w:p w14:paraId="4AC8734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6FB3A4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Gerontopsykiatri herunder demens former, skizofreni,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affektive sindslidelse, dobbeltdiagnose, personlighedsforstyrrelse.</w:t>
            </w:r>
          </w:p>
          <w:p w14:paraId="6EF81E5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FB1F52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2916E6D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EA34BE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A3CFC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C67170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farmakodynamik og farmakokinetik.</w:t>
            </w:r>
          </w:p>
          <w:p w14:paraId="49EB4C8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Observation af virkning og bivirkning af lægemidler:</w:t>
            </w:r>
          </w:p>
          <w:p w14:paraId="62E46B0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FE9DE8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Laksantia </w:t>
            </w:r>
          </w:p>
          <w:p w14:paraId="7A0AC0B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Insulin og antidiabetika</w:t>
            </w:r>
          </w:p>
          <w:p w14:paraId="099077C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Antipsykotika</w:t>
            </w:r>
          </w:p>
          <w:p w14:paraId="064F45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Antidepressiva</w:t>
            </w:r>
          </w:p>
          <w:p w14:paraId="2A332B9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Hypnotika</w:t>
            </w:r>
          </w:p>
          <w:p w14:paraId="081C281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Benzodiazepiner</w:t>
            </w:r>
          </w:p>
          <w:p w14:paraId="3B3A7A8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Alzheimer medicin</w:t>
            </w:r>
          </w:p>
          <w:p w14:paraId="4D7A8EA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Analgetika</w:t>
            </w:r>
          </w:p>
          <w:p w14:paraId="71BEF30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Polyfarmaci </w:t>
            </w:r>
          </w:p>
          <w:p w14:paraId="457D6DD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7ECA4E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Naturfaglig viden om  syre/basebalance, synapsespalte og signalstoffer </w:t>
            </w:r>
          </w:p>
          <w:p w14:paraId="4C7F282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534524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345868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Førstehjælp, generhvervelse</w:t>
            </w:r>
          </w:p>
          <w:p w14:paraId="1D45970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1BF6F5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EUD elever har valgfrit udd. Specifikt fag:</w:t>
            </w:r>
          </w:p>
          <w:p w14:paraId="781F22E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5D8A46D7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CC80FF" w14:textId="77777777" w:rsidR="000203EF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7D76C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TOKS</w:t>
            </w:r>
          </w:p>
          <w:p w14:paraId="2442765A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Præ, per og postoperativ tilstand</w:t>
            </w:r>
          </w:p>
          <w:p w14:paraId="24C32E3E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Hud og slimhinder- forebygge tryksår</w:t>
            </w:r>
          </w:p>
          <w:p w14:paraId="6ED1C84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Knogler, muskler og led</w:t>
            </w:r>
          </w:p>
          <w:p w14:paraId="00FE32A1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Palliation- fokus på livskvalitet i det levede liv</w:t>
            </w:r>
          </w:p>
          <w:p w14:paraId="32E8F952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Lidelse og omsorg</w:t>
            </w:r>
          </w:p>
          <w:p w14:paraId="2EB1866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Sorg og krise- Cullberg</w:t>
            </w:r>
          </w:p>
          <w:p w14:paraId="6B7EB51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To-spors modellen </w:t>
            </w:r>
          </w:p>
          <w:p w14:paraId="76F5F900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Etik</w:t>
            </w:r>
          </w:p>
          <w:p w14:paraId="555E5BBA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1C99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9D033C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5E0A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C830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8A15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621C8B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91DEC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18E16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18CEBAF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A97A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5FA37C3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0A119DA4" w14:textId="77777777" w:rsidTr="00400C06">
        <w:tc>
          <w:tcPr>
            <w:tcW w:w="4942" w:type="dxa"/>
            <w:shd w:val="clear" w:color="auto" w:fill="ED7D31"/>
          </w:tcPr>
          <w:p w14:paraId="0B39FC7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A967BA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5B9FF9A9" w14:textId="77777777" w:rsidTr="00400C06">
        <w:tc>
          <w:tcPr>
            <w:tcW w:w="4942" w:type="dxa"/>
            <w:shd w:val="clear" w:color="auto" w:fill="auto"/>
          </w:tcPr>
          <w:p w14:paraId="60D9615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78FCE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8A4A9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5D1AB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D6A25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1FB95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1169D5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4EC05E94" w14:textId="77777777" w:rsidTr="00400C06">
        <w:tc>
          <w:tcPr>
            <w:tcW w:w="4942" w:type="dxa"/>
            <w:shd w:val="clear" w:color="auto" w:fill="ED7D31"/>
          </w:tcPr>
          <w:p w14:paraId="2339B26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77E98F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4F93BF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87F4C27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6993595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A95E8F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6E9AB9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D6E1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C952F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D8A0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53B571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A941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FFC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BE1B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FF8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EDEB6B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872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802C6" w14:textId="77777777" w:rsidR="007B2884" w:rsidRPr="003D7E0C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arbejde med rehabilitering og recovery. </w:t>
            </w:r>
          </w:p>
          <w:p w14:paraId="078F273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19DF64A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636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77639FF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43FBB08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29AEF12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3765FFB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5F0F0EA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Recovery og psykoeducation</w:t>
            </w:r>
          </w:p>
          <w:p w14:paraId="5FB2F9D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Jeg-støtte</w:t>
            </w:r>
          </w:p>
          <w:p w14:paraId="70274B4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tilgang</w:t>
            </w:r>
          </w:p>
          <w:p w14:paraId="2E80AA8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Mestring</w:t>
            </w:r>
          </w:p>
          <w:p w14:paraId="191AEA1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Samarbejde og støtte af pårørende</w:t>
            </w:r>
          </w:p>
          <w:p w14:paraId="38924CA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F940254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4C2A31E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Siri Ness og Kajandi</w:t>
            </w:r>
          </w:p>
          <w:p w14:paraId="09CA09A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26E1C448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3E33CBDB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0784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CB264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2D1EA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A26F51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5D94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6BE97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8B6728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A5512A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8F6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11415D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346D3CE8" w14:textId="77777777" w:rsidTr="00400C06">
        <w:tc>
          <w:tcPr>
            <w:tcW w:w="4942" w:type="dxa"/>
            <w:shd w:val="clear" w:color="auto" w:fill="ED7D31"/>
          </w:tcPr>
          <w:p w14:paraId="5A97D6D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E1AC7B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6370F605" w14:textId="77777777" w:rsidTr="00400C06">
        <w:tc>
          <w:tcPr>
            <w:tcW w:w="4942" w:type="dxa"/>
            <w:shd w:val="clear" w:color="auto" w:fill="auto"/>
          </w:tcPr>
          <w:p w14:paraId="5DC6604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6969E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0F928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757BA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1535A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B8BAF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4E9410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45E1B2D2" w14:textId="77777777" w:rsidTr="00400C06">
        <w:tc>
          <w:tcPr>
            <w:tcW w:w="4942" w:type="dxa"/>
            <w:shd w:val="clear" w:color="auto" w:fill="ED7D31"/>
          </w:tcPr>
          <w:p w14:paraId="7F9B126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B1DEB8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E960A36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D12B758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210A36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358961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1381B6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369CB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47E5E6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7433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0EDB8E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56F7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28C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230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CF7B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8C114E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FCB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FF21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og tværprofessionelt arbejde sundhedsfremmende og ud fra et helhedssyn forebygge udvikling af livsstilssygdomme ved at vejlede og motivere borgeren/patienten 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C2A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 og mestring (Antonovsky, Bruun Jensen og Lazarus)</w:t>
            </w:r>
          </w:p>
          <w:p w14:paraId="10C6754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88D47B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Sheldons 4 motivationsformer</w:t>
            </w:r>
          </w:p>
          <w:p w14:paraId="4F05BA3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9C564F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Forebyggelse  </w:t>
            </w:r>
          </w:p>
          <w:p w14:paraId="14BF05D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F4ECB3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Motiverende samtale</w:t>
            </w:r>
          </w:p>
          <w:p w14:paraId="0CD7B25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Livsstilssygdomme</w:t>
            </w:r>
          </w:p>
          <w:p w14:paraId="49E24D1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 og rådgivning</w:t>
            </w:r>
          </w:p>
          <w:p w14:paraId="09B5154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relationsmodel</w:t>
            </w:r>
          </w:p>
          <w:p w14:paraId="02FDD9B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5F957580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C9A8AA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6A584138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Siri Ness og Kajandi</w:t>
            </w:r>
          </w:p>
          <w:p w14:paraId="56CAFBC7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4429D37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Sundhedspædagogik, livsstilsfaktorer, forventninger og mål for hverdagslivet</w:t>
            </w:r>
          </w:p>
          <w:p w14:paraId="13A34638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Forandringsprocesser og motiverende samtale</w:t>
            </w:r>
          </w:p>
          <w:p w14:paraId="79C983B8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F1E9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ED513F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F6BE2C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8E7529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85F8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55440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1FFB7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FFCBA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35301E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3D64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24C907B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688AE60A" w14:textId="77777777" w:rsidTr="00400C06">
        <w:tc>
          <w:tcPr>
            <w:tcW w:w="4942" w:type="dxa"/>
            <w:shd w:val="clear" w:color="auto" w:fill="ED7D31"/>
          </w:tcPr>
          <w:p w14:paraId="3E4F83F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B8781C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5DAAC81D" w14:textId="77777777" w:rsidTr="00400C06">
        <w:tc>
          <w:tcPr>
            <w:tcW w:w="4942" w:type="dxa"/>
            <w:shd w:val="clear" w:color="auto" w:fill="auto"/>
          </w:tcPr>
          <w:p w14:paraId="33A80EA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473AF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AEF4B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EE230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C1F57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F2CC1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48C83D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71F7ECC0" w14:textId="77777777" w:rsidTr="00400C06">
        <w:tc>
          <w:tcPr>
            <w:tcW w:w="4942" w:type="dxa"/>
            <w:shd w:val="clear" w:color="auto" w:fill="ED7D31"/>
          </w:tcPr>
          <w:p w14:paraId="7BCBE7C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887EF6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F4273A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35B380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D80B856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E2C8EA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98130CE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8E36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8E988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09B9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6DCD1E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8EB7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F1A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5CB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8EBF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4C6809E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A33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3F4A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ud fra en rehabiliterende tilgang selvstændigt planlægge, udføre og evaluere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4A9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Rehabiliterings-begrebet- hvidbogens definition</w:t>
            </w:r>
          </w:p>
          <w:p w14:paraId="0CD16AF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90137D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Måltidet. Hjælpemidler der kan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bruges i forhold til madlavning og måltidet </w:t>
            </w:r>
          </w:p>
          <w:p w14:paraId="1EC8BA4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59E267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6F361DF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MOHO</w:t>
            </w:r>
          </w:p>
          <w:p w14:paraId="0A29315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95622D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Aktivitetsanalyse</w:t>
            </w:r>
          </w:p>
          <w:p w14:paraId="28830B8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Nuzo og Flow</w:t>
            </w:r>
          </w:p>
          <w:p w14:paraId="465D7B0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ADL</w:t>
            </w:r>
          </w:p>
          <w:p w14:paraId="0B459E9A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8E2325F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Motivation, Guidning</w:t>
            </w:r>
          </w:p>
          <w:p w14:paraId="68B3115E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38AE3F75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52C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A395E3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5E091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346C1F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CD03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1BB40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ED559C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9E2628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B2A6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E410717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57C86763" w14:textId="77777777" w:rsidTr="00400C06">
        <w:tc>
          <w:tcPr>
            <w:tcW w:w="4942" w:type="dxa"/>
            <w:shd w:val="clear" w:color="auto" w:fill="ED7D31"/>
          </w:tcPr>
          <w:p w14:paraId="0FB9C11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43170F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153E1404" w14:textId="77777777" w:rsidTr="00400C06">
        <w:tc>
          <w:tcPr>
            <w:tcW w:w="4942" w:type="dxa"/>
            <w:shd w:val="clear" w:color="auto" w:fill="auto"/>
          </w:tcPr>
          <w:p w14:paraId="3E3313C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89EEA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95CCE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E23E9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86FE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D83C4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48C4BA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22F5F544" w14:textId="77777777" w:rsidTr="00400C06">
        <w:tc>
          <w:tcPr>
            <w:tcW w:w="4942" w:type="dxa"/>
            <w:shd w:val="clear" w:color="auto" w:fill="ED7D31"/>
          </w:tcPr>
          <w:p w14:paraId="09929D9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8B4964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0CEF28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3A905D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7C11488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53D699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2F8628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8AAF0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7926DE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0653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798876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8A6D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500E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1BC9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C258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514617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83DE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B28C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tilrettelægge og gennemføre fysiske, sociale, kulturelle og 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2878F33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316C4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5AC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736DB55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2D1D36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56A7A3F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4AA94D" w14:textId="77777777" w:rsidR="003D7E0C" w:rsidRDefault="003D7E0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Sanserne</w:t>
            </w:r>
          </w:p>
          <w:p w14:paraId="634DD5FF" w14:textId="77777777" w:rsidR="000203EF" w:rsidRDefault="000203E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178E8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Aktiviteter i forhold til demens</w:t>
            </w:r>
          </w:p>
          <w:p w14:paraId="6EC474D0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 og motivation</w:t>
            </w:r>
          </w:p>
          <w:p w14:paraId="01C2353F" w14:textId="77777777" w:rsidR="000203EF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Meningsfuldt hverdagsliv, relationel koordinering og empowerment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151B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629545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A9583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4E441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50C7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ABACB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0E860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438C3A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B713AB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A68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EBBA8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p w14:paraId="636035B2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22259A61" w14:textId="77777777" w:rsidTr="00400C06">
        <w:tc>
          <w:tcPr>
            <w:tcW w:w="4942" w:type="dxa"/>
            <w:shd w:val="clear" w:color="auto" w:fill="ED7D31"/>
          </w:tcPr>
          <w:p w14:paraId="7CF8C75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F04B1C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77F28070" w14:textId="77777777" w:rsidTr="00400C06">
        <w:tc>
          <w:tcPr>
            <w:tcW w:w="4942" w:type="dxa"/>
            <w:shd w:val="clear" w:color="auto" w:fill="auto"/>
          </w:tcPr>
          <w:p w14:paraId="17A048C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15472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57478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5F23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EDB77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A3D5A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B47436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1BB19555" w14:textId="77777777" w:rsidTr="00400C06">
        <w:tc>
          <w:tcPr>
            <w:tcW w:w="4942" w:type="dxa"/>
            <w:shd w:val="clear" w:color="auto" w:fill="ED7D31"/>
          </w:tcPr>
          <w:p w14:paraId="2D3652C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812938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6BA8CB7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DB4E9C0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78371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E6BDC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02ADCA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C6E1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8E926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8808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7B1697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DE9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6621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E264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E8F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8D51D5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FA7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AA8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3E4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707EE730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F7806C3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Aseptik</w:t>
            </w:r>
          </w:p>
          <w:p w14:paraId="4AA84E04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Hygiejne omkring kateter og injektion</w:t>
            </w:r>
          </w:p>
          <w:p w14:paraId="35C5CDDD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Vejledning, instruktion og undervisning</w:t>
            </w:r>
          </w:p>
          <w:p w14:paraId="00776C09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833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E4CDE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FE2E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35B79E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F6FE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355248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4685B1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7C473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50775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5BC04B8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0DF24A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714ED01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2D2CA73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50801372" w14:textId="77777777" w:rsidTr="00400C06">
        <w:tc>
          <w:tcPr>
            <w:tcW w:w="4942" w:type="dxa"/>
            <w:shd w:val="clear" w:color="auto" w:fill="ED7D31"/>
          </w:tcPr>
          <w:p w14:paraId="4BAD7AB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94894C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E5D95E5" w14:textId="77777777" w:rsidTr="00400C06">
        <w:tc>
          <w:tcPr>
            <w:tcW w:w="4942" w:type="dxa"/>
            <w:shd w:val="clear" w:color="auto" w:fill="auto"/>
          </w:tcPr>
          <w:p w14:paraId="5C76DA0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9606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90717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5CDD0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97713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F1C8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7554C5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2AD13D50" w14:textId="77777777" w:rsidTr="00400C06">
        <w:tc>
          <w:tcPr>
            <w:tcW w:w="4942" w:type="dxa"/>
            <w:shd w:val="clear" w:color="auto" w:fill="ED7D31"/>
          </w:tcPr>
          <w:p w14:paraId="774C543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646F27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829FDBB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DF7B65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1B056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F110E8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B9D3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BBC5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7ED9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5D81F15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3DD9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894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846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C706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5A67E0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785E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974A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efter praktikstedets retningslinjer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A37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Farmakodynamik og farmakokinetik</w:t>
            </w:r>
          </w:p>
          <w:p w14:paraId="1528486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456D6889" w14:textId="77777777" w:rsidR="007B2884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1502B8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Lægemiddelregning</w:t>
            </w:r>
          </w:p>
          <w:p w14:paraId="4BA3D3F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708258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Hygiejne vedr. lægemidler</w:t>
            </w:r>
          </w:p>
          <w:p w14:paraId="3E9410E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59EAA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Medicinhåndtering</w:t>
            </w:r>
          </w:p>
          <w:p w14:paraId="018BD60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 virkning og bivirkning af lægemidler.</w:t>
            </w:r>
          </w:p>
          <w:p w14:paraId="6C9D5C7E" w14:textId="77777777" w:rsidR="00D669A4" w:rsidRDefault="00D669A4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BF24B34" w14:textId="77777777" w:rsidR="003D7E0C" w:rsidRPr="00596A18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Farmakologieksamen.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BF1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BB8B6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8390D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FB516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3F0F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ADF16E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B7E9573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2384E7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6340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F3DC70E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3F97171" w14:textId="77777777" w:rsidTr="00400C06">
        <w:tc>
          <w:tcPr>
            <w:tcW w:w="4942" w:type="dxa"/>
            <w:shd w:val="clear" w:color="auto" w:fill="ED7D31"/>
          </w:tcPr>
          <w:p w14:paraId="000A4F3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68E810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F93A9E1" w14:textId="77777777" w:rsidTr="00400C06">
        <w:tc>
          <w:tcPr>
            <w:tcW w:w="4942" w:type="dxa"/>
            <w:shd w:val="clear" w:color="auto" w:fill="auto"/>
          </w:tcPr>
          <w:p w14:paraId="5381D97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81574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FEABA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0B92C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0B0B8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C6F49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4A2409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66453ECD" w14:textId="77777777" w:rsidTr="00400C06">
        <w:tc>
          <w:tcPr>
            <w:tcW w:w="4942" w:type="dxa"/>
            <w:shd w:val="clear" w:color="auto" w:fill="ED7D31"/>
          </w:tcPr>
          <w:p w14:paraId="6EE9073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CC680B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9873995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3B8CD51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3A95B2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31A4F3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7A14D0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CDFD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D0441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2ACC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79BB85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FF0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3F7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320F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53F7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635832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46B8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E8C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CFD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1A03CF0A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F2A7B3E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3BC6AD6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4FF60A0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CEB735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Livsorienteret samtale</w:t>
            </w:r>
          </w:p>
          <w:p w14:paraId="5FB42D9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E46C08C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56C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731AE0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7EDBF0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C60E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3CC0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357FCD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18CAAF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868E6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10D3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DF52629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10993E02" w14:textId="77777777" w:rsidTr="00400C06">
        <w:tc>
          <w:tcPr>
            <w:tcW w:w="4942" w:type="dxa"/>
            <w:shd w:val="clear" w:color="auto" w:fill="ED7D31"/>
          </w:tcPr>
          <w:p w14:paraId="40C5FFA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6EEC21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66FAF099" w14:textId="77777777" w:rsidTr="00400C06">
        <w:tc>
          <w:tcPr>
            <w:tcW w:w="4942" w:type="dxa"/>
            <w:shd w:val="clear" w:color="auto" w:fill="auto"/>
          </w:tcPr>
          <w:p w14:paraId="61EC8F0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387B4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DF1EC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AD728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1010B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5D3A1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D8AF58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505B553" w14:textId="77777777" w:rsidTr="00400C06">
        <w:tc>
          <w:tcPr>
            <w:tcW w:w="4942" w:type="dxa"/>
            <w:shd w:val="clear" w:color="auto" w:fill="ED7D31"/>
          </w:tcPr>
          <w:p w14:paraId="43ED0E4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849747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709FEB4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57D192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3ADE3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CC00BC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C814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9A9818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BCD7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796761B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CAE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CC75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784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BE2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C64FFF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06C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EF5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gennemføre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7D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Rådgivning, vejledning og instruktion</w:t>
            </w:r>
          </w:p>
          <w:p w14:paraId="42C9A3A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model</w:t>
            </w:r>
          </w:p>
          <w:p w14:paraId="4C97B32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72C1B51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C4C205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  <w:p w14:paraId="5F81C1C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FF4127D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 af kolleger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610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96085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6EF6F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A9FCF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FFEE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51223D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3F656C8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C28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BD2808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7373B749" w14:textId="77777777" w:rsidTr="00400C06">
        <w:tc>
          <w:tcPr>
            <w:tcW w:w="4942" w:type="dxa"/>
            <w:shd w:val="clear" w:color="auto" w:fill="ED7D31"/>
          </w:tcPr>
          <w:p w14:paraId="68B5B1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D7382F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2DB28B68" w14:textId="77777777" w:rsidTr="00400C06">
        <w:tc>
          <w:tcPr>
            <w:tcW w:w="4942" w:type="dxa"/>
            <w:shd w:val="clear" w:color="auto" w:fill="auto"/>
          </w:tcPr>
          <w:p w14:paraId="394B53E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E531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260CC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C4A7A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5F789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A251E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52CAB4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B32A453" w14:textId="77777777" w:rsidTr="00400C06">
        <w:tc>
          <w:tcPr>
            <w:tcW w:w="4942" w:type="dxa"/>
            <w:shd w:val="clear" w:color="auto" w:fill="ED7D31"/>
          </w:tcPr>
          <w:p w14:paraId="359AEC2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3623FB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D6C60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A77545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EB024A" w14:textId="77777777" w:rsidR="007B2884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8C3C0A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8C386F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2305E7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E5F1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832E4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99DE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5BAC51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85B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980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A15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692F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E29717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44A60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63499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kommunikere på en måde der, under hensyntagen til egen og andres sikkerhed, understøtter borgere og patienters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7E65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30E98DA2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0AEB486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7F44AAD8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085B191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29DEE55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71228B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sygepleje</w:t>
            </w:r>
          </w:p>
          <w:p w14:paraId="3EB06E4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Kognitiv tilgang og forsvarsmekanismer </w:t>
            </w:r>
          </w:p>
          <w:p w14:paraId="1182D74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</w:t>
            </w:r>
          </w:p>
          <w:p w14:paraId="6388CD6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Lokalt kriseberedskab</w:t>
            </w:r>
          </w:p>
          <w:p w14:paraId="123DAF4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 om selvbestemmelse</w:t>
            </w:r>
          </w:p>
          <w:p w14:paraId="6379369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 og tvang</w:t>
            </w:r>
          </w:p>
          <w:p w14:paraId="3C3020D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Stress håndtering</w:t>
            </w:r>
          </w:p>
          <w:p w14:paraId="1D69883E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C70B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09CED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F43C95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68EE6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C4C5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57A12D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7312BB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466666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2E7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6F30EB7" w14:textId="77777777" w:rsidR="00400C06" w:rsidRDefault="007B2884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1C7C879B" w14:textId="77777777" w:rsidTr="00400C06">
        <w:tc>
          <w:tcPr>
            <w:tcW w:w="4942" w:type="dxa"/>
            <w:shd w:val="clear" w:color="auto" w:fill="ED7D31"/>
          </w:tcPr>
          <w:p w14:paraId="2588619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C13BE6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3C987A3" w14:textId="77777777" w:rsidTr="00400C06">
        <w:tc>
          <w:tcPr>
            <w:tcW w:w="4942" w:type="dxa"/>
            <w:shd w:val="clear" w:color="auto" w:fill="auto"/>
          </w:tcPr>
          <w:p w14:paraId="706B077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0A6F5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5E5A6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BF470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1401E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99BD2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5FA70E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1D0C1114" w14:textId="77777777" w:rsidTr="00400C06">
        <w:tc>
          <w:tcPr>
            <w:tcW w:w="4942" w:type="dxa"/>
            <w:shd w:val="clear" w:color="auto" w:fill="ED7D31"/>
          </w:tcPr>
          <w:p w14:paraId="5565438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8DC0DD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2F7FE89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ECB88B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A708031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8F2AD8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91503E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995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5C35A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998C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5DE7CC0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B4D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2F92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DE3D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A038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5E600C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40D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AFF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kommunikere og dokumentere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faglige handlinger i relevante dokumentationssystemer med henblik på at understøtte patientsikre overgange og kontinuitet i det samlede borger/patientforløb og øge den borger-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261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Dokumentation </w:t>
            </w:r>
          </w:p>
          <w:p w14:paraId="1E9AFCA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3ADC34C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2CE20F3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776E5EAF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0335822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2CC8F43C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44E5A2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system</w:t>
            </w:r>
          </w:p>
          <w:p w14:paraId="3CE507B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396511B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Sygeplejeplaner</w:t>
            </w:r>
          </w:p>
          <w:p w14:paraId="7565F32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Handleplaner</w:t>
            </w:r>
          </w:p>
          <w:p w14:paraId="632DC5D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Kontaktpersonordning</w:t>
            </w:r>
          </w:p>
          <w:p w14:paraId="6E0B4BBA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265061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</w:t>
            </w:r>
          </w:p>
          <w:p w14:paraId="38A8AE4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3A338E0C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Instrukser og retningslinjer</w:t>
            </w:r>
          </w:p>
          <w:p w14:paraId="66DD468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praksis</w:t>
            </w:r>
          </w:p>
          <w:p w14:paraId="51E7F05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</w:t>
            </w:r>
          </w:p>
          <w:p w14:paraId="49FC8CD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Databehandling</w:t>
            </w:r>
          </w:p>
          <w:p w14:paraId="78B37C93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8BF124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C356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3C08CE6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E37BD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A13D8C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1128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AE1A283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D2435A9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2B6577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0749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3B89B0C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751BA1C" w14:textId="77777777" w:rsidTr="00400C06">
        <w:tc>
          <w:tcPr>
            <w:tcW w:w="4942" w:type="dxa"/>
            <w:shd w:val="clear" w:color="auto" w:fill="ED7D31"/>
          </w:tcPr>
          <w:p w14:paraId="6C21038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9907E7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61DE7398" w14:textId="77777777" w:rsidTr="00400C06">
        <w:tc>
          <w:tcPr>
            <w:tcW w:w="4942" w:type="dxa"/>
            <w:shd w:val="clear" w:color="auto" w:fill="auto"/>
          </w:tcPr>
          <w:p w14:paraId="255D943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0B1BB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32A48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DF9F18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E74EC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C7350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24A926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7B283EA1" w14:textId="77777777" w:rsidTr="00400C06">
        <w:tc>
          <w:tcPr>
            <w:tcW w:w="4942" w:type="dxa"/>
            <w:shd w:val="clear" w:color="auto" w:fill="ED7D31"/>
          </w:tcPr>
          <w:p w14:paraId="2E057EB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3D9F21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1F79921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2BA5D88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A2FC60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1B8E42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8E0540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4F6D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4DA38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7C96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1545B62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9D22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10AA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2574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AF18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9A43F1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4932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DBCE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koordinere og tilrettelægge eget og andres arbejde samt understøtte og indgå i teamsamarbejde omkring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7258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vejledning, rådgivning og didaktik.</w:t>
            </w:r>
          </w:p>
          <w:p w14:paraId="37504DD2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EC63F7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367C96D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64B35FD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50709B9D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  <w:p w14:paraId="0B0EAE14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D38F926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B16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D56261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00D3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3C701A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6316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0F284A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2D6D52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6BC09A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AB59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D16014B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428AB022" w14:textId="77777777" w:rsidTr="00400C06">
        <w:tc>
          <w:tcPr>
            <w:tcW w:w="4942" w:type="dxa"/>
            <w:shd w:val="clear" w:color="auto" w:fill="ED7D31"/>
          </w:tcPr>
          <w:p w14:paraId="603C783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ADC5A8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8FE5317" w14:textId="77777777" w:rsidTr="00400C06">
        <w:tc>
          <w:tcPr>
            <w:tcW w:w="4942" w:type="dxa"/>
            <w:shd w:val="clear" w:color="auto" w:fill="auto"/>
          </w:tcPr>
          <w:p w14:paraId="5D93EB2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B233F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7FF53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EF86E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16A3F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9DB53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83DE17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1A8F8F95" w14:textId="77777777" w:rsidTr="00400C06">
        <w:tc>
          <w:tcPr>
            <w:tcW w:w="4942" w:type="dxa"/>
            <w:shd w:val="clear" w:color="auto" w:fill="ED7D31"/>
          </w:tcPr>
          <w:p w14:paraId="0FC6653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9248F0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083F5AA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74268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FF672CA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C9E8B3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FA46D1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0BDE4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19918AA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1E72F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358EFC3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DE96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FC2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FE16C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D063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B57FC5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9973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A27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kan koordinere og indgå i samarbejdet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om en borgers/patients behov for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tværprofessionel og tværsektoriel indsats, herunder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D2F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  <w:p w14:paraId="1201A280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3C3C36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 som fagperson</w:t>
            </w:r>
          </w:p>
          <w:p w14:paraId="682BCAB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Psykiatriske system</w:t>
            </w:r>
          </w:p>
          <w:p w14:paraId="730BA956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16C3B8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Tiltag der skaber sammenhæng</w:t>
            </w:r>
          </w:p>
          <w:p w14:paraId="5035A56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Sundhedsvæsenets organisering</w:t>
            </w:r>
          </w:p>
          <w:p w14:paraId="3517530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Akutfunktion primær og sekundær</w:t>
            </w:r>
          </w:p>
          <w:p w14:paraId="5ADA3CD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Sammenhæng mellem sundhedspolitik, serviceniveauer og lokale målsætninger</w:t>
            </w:r>
          </w:p>
          <w:p w14:paraId="015CEE82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Nationale mål</w:t>
            </w:r>
          </w:p>
          <w:p w14:paraId="6536A20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Sundhedsaftaler</w:t>
            </w:r>
          </w:p>
          <w:p w14:paraId="7BF1E3B7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Forebyggelige indlæggelser</w:t>
            </w:r>
          </w:p>
          <w:p w14:paraId="09B9E99B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3982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831F16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05F9D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4DB0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A965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2174659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1F2B926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B5A12C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501E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978C9F6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6DEF57A8" w14:textId="77777777" w:rsidTr="00400C06">
        <w:tc>
          <w:tcPr>
            <w:tcW w:w="4942" w:type="dxa"/>
            <w:shd w:val="clear" w:color="auto" w:fill="ED7D31"/>
          </w:tcPr>
          <w:p w14:paraId="19E89DF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BFFC32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2D31350A" w14:textId="77777777" w:rsidTr="00400C06">
        <w:tc>
          <w:tcPr>
            <w:tcW w:w="4942" w:type="dxa"/>
            <w:shd w:val="clear" w:color="auto" w:fill="auto"/>
          </w:tcPr>
          <w:p w14:paraId="1202BEB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5B67E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AD87D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423B0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DF13D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08336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8AA029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3132C921" w14:textId="77777777" w:rsidTr="00400C06">
        <w:tc>
          <w:tcPr>
            <w:tcW w:w="4942" w:type="dxa"/>
            <w:shd w:val="clear" w:color="auto" w:fill="ED7D31"/>
          </w:tcPr>
          <w:p w14:paraId="53CC9BA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B7CE38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45ACB49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A357042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F206B6B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9C5C0B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8EA454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FD679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D53A2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5016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559328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0DCE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7E86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AB6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E3CA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87B750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0E15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21FC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udføre sygepleje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CB5D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  <w:p w14:paraId="5E6E749E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E7CB65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 - støtte</w:t>
            </w:r>
          </w:p>
          <w:p w14:paraId="216B81B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 pædagogiske metoder</w:t>
            </w:r>
          </w:p>
          <w:p w14:paraId="345B409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terapi</w:t>
            </w:r>
          </w:p>
          <w:p w14:paraId="2BC999C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01E291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Informationssøgning- digitale redskaber</w:t>
            </w:r>
          </w:p>
          <w:p w14:paraId="501BF6A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5BD1683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Velfærdsteknologi og hjælpemidler</w:t>
            </w:r>
          </w:p>
          <w:p w14:paraId="0B97C4C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Innovation </w:t>
            </w:r>
          </w:p>
          <w:p w14:paraId="58649BA5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Telemedicin</w:t>
            </w:r>
          </w:p>
          <w:p w14:paraId="26B4003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Sundhedsteknologi</w:t>
            </w:r>
          </w:p>
          <w:p w14:paraId="62799180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FD2E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BDC093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598C1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5F5E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2F43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50B0B0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C971254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A6D17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DCD5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34528AA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049096CD" w14:textId="77777777" w:rsidTr="00400C06">
        <w:tc>
          <w:tcPr>
            <w:tcW w:w="4942" w:type="dxa"/>
            <w:shd w:val="clear" w:color="auto" w:fill="ED7D31"/>
          </w:tcPr>
          <w:p w14:paraId="6F35F88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16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48BDC5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7670CBF5" w14:textId="77777777" w:rsidTr="00400C06">
        <w:tc>
          <w:tcPr>
            <w:tcW w:w="4942" w:type="dxa"/>
            <w:shd w:val="clear" w:color="auto" w:fill="auto"/>
          </w:tcPr>
          <w:p w14:paraId="39F5FBD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CBE20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AB7F8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4885C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42244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76759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A8AB5E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45CFC0B7" w14:textId="77777777" w:rsidTr="00400C06">
        <w:tc>
          <w:tcPr>
            <w:tcW w:w="4942" w:type="dxa"/>
            <w:shd w:val="clear" w:color="auto" w:fill="ED7D31"/>
          </w:tcPr>
          <w:p w14:paraId="604D77E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6FEBE1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E20FB14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4D1CDC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35901A8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8A16CC9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C398D2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7444A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463D2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0AF1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4369AD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8485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B4B6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8918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48D9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CBEAD2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84E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66C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FA81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7D7509D7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  <w:p w14:paraId="0E077B4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01174DD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Magtanvendelse- servicelov</w:t>
            </w:r>
          </w:p>
          <w:p w14:paraId="48BD17D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Tvang- psykiatrilov</w:t>
            </w:r>
          </w:p>
          <w:p w14:paraId="1948F0A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</w:t>
            </w:r>
          </w:p>
          <w:p w14:paraId="1E45AE3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Brøset (BVC risikovurdering)</w:t>
            </w:r>
          </w:p>
          <w:p w14:paraId="7239ECAA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33930C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3411991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222BBE4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0330AF3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7DBDEA7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Kvalitetssikring- metoder og værktøjer</w:t>
            </w:r>
          </w:p>
          <w:p w14:paraId="79D937F1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Screening og ISBAR</w:t>
            </w:r>
          </w:p>
          <w:p w14:paraId="1D43FF6E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AE1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A9C8A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7004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E7220B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F1CA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DBD1C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E0C3462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542730F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4F02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A04F9CD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0FD159C2" w14:textId="77777777" w:rsidTr="00400C06">
        <w:tc>
          <w:tcPr>
            <w:tcW w:w="4942" w:type="dxa"/>
            <w:shd w:val="clear" w:color="auto" w:fill="ED7D31"/>
          </w:tcPr>
          <w:p w14:paraId="7BEFD80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B3F8B5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0006A5E" w14:textId="77777777" w:rsidTr="00400C06">
        <w:tc>
          <w:tcPr>
            <w:tcW w:w="4942" w:type="dxa"/>
            <w:shd w:val="clear" w:color="auto" w:fill="auto"/>
          </w:tcPr>
          <w:p w14:paraId="6D6D101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0F071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8EE06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42D4D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EBE94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6183B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207CAE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6886B3CD" w14:textId="77777777" w:rsidTr="00400C06">
        <w:tc>
          <w:tcPr>
            <w:tcW w:w="4942" w:type="dxa"/>
            <w:shd w:val="clear" w:color="auto" w:fill="ED7D31"/>
          </w:tcPr>
          <w:p w14:paraId="6AFD7F8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A13112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2ACB21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639D8E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443E67E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BEE6D47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1C9435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32039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85806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CBDF2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1C3FC0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CF66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52C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434B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83D0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D17F6B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9B46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BA68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forholde sig kritisk til og understøtte udvikling af et godt fysisk og psykisk arbejdsmiljø, herunder udføre forflytninger samt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006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Arbejdsmiljø</w:t>
            </w:r>
          </w:p>
          <w:p w14:paraId="6EE879E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679A807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D40444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158938B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513F7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kriseberedskab</w:t>
            </w:r>
          </w:p>
          <w:p w14:paraId="63FC653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Voldspolitik og stresshåndtering</w:t>
            </w:r>
          </w:p>
          <w:p w14:paraId="64C2BBA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DA6C280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</w:t>
            </w:r>
          </w:p>
          <w:p w14:paraId="21807C7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Certificering</w:t>
            </w:r>
          </w:p>
          <w:p w14:paraId="5934DF5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Ergonomi </w:t>
            </w:r>
          </w:p>
          <w:p w14:paraId="5C69DAB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Det normale bevægemønster </w:t>
            </w:r>
          </w:p>
          <w:p w14:paraId="63F84F7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ABC-konceptet</w:t>
            </w:r>
          </w:p>
          <w:p w14:paraId="480E19F1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620D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6626E6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D6D078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AC720E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65427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91716E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D6D2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45C5D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8C2D57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512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B5F6E57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7ACA6A5B" w14:textId="77777777" w:rsidTr="00400C06">
        <w:tc>
          <w:tcPr>
            <w:tcW w:w="4942" w:type="dxa"/>
            <w:shd w:val="clear" w:color="auto" w:fill="ED7D31"/>
          </w:tcPr>
          <w:p w14:paraId="5718E67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14EE59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0F69CE4" w14:textId="77777777" w:rsidTr="00400C06">
        <w:trPr>
          <w:trHeight w:val="1695"/>
        </w:trPr>
        <w:tc>
          <w:tcPr>
            <w:tcW w:w="4942" w:type="dxa"/>
            <w:shd w:val="clear" w:color="auto" w:fill="auto"/>
          </w:tcPr>
          <w:p w14:paraId="425F0E2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AFF4E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53BF0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D43959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A8E1F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F1003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8A22F1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6B7D8361" w14:textId="77777777" w:rsidTr="00400C06">
        <w:tc>
          <w:tcPr>
            <w:tcW w:w="4942" w:type="dxa"/>
            <w:shd w:val="clear" w:color="auto" w:fill="ED7D31"/>
          </w:tcPr>
          <w:p w14:paraId="7FEDAE7E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C4C058B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2610E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4645B7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916D33B" w14:textId="77777777" w:rsidR="00D5332A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BB24BD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2141C9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7650E5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8DFF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BD5A34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6E298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5D8FB35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FED7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A4E3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8562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E27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255183B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2E43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9BA9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som tavshedspligt, magtanvendelse, patientrettigheder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1DE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5D80FC9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67117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651699B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 lov</w:t>
            </w:r>
          </w:p>
          <w:p w14:paraId="2F13C8E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</w:p>
          <w:p w14:paraId="250E8A4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Livsformer</w:t>
            </w:r>
          </w:p>
          <w:p w14:paraId="39DB892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</w:t>
            </w:r>
          </w:p>
          <w:p w14:paraId="3629825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Hverdagsliv</w:t>
            </w:r>
          </w:p>
          <w:p w14:paraId="717965D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945ECE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6A9F6D4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012F4E0E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0ED210B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2BD89EC4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F99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BF144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57ABAA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05797D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8367F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7FF6C8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F20D1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EE0E9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296D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3377DAB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57AC101F" w14:textId="77777777" w:rsidTr="00400C06">
        <w:tc>
          <w:tcPr>
            <w:tcW w:w="4942" w:type="dxa"/>
            <w:shd w:val="clear" w:color="auto" w:fill="ED7D31"/>
          </w:tcPr>
          <w:p w14:paraId="42DCCFB4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C190A4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46FC0EF8" w14:textId="77777777" w:rsidTr="00400C06">
        <w:tc>
          <w:tcPr>
            <w:tcW w:w="4942" w:type="dxa"/>
            <w:shd w:val="clear" w:color="auto" w:fill="auto"/>
          </w:tcPr>
          <w:p w14:paraId="7EF3564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425DB3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118FF2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CBEA5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E8F02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50FF80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7669F5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53EF96AF" w14:textId="77777777" w:rsidTr="00400C06">
        <w:tc>
          <w:tcPr>
            <w:tcW w:w="4942" w:type="dxa"/>
            <w:shd w:val="clear" w:color="auto" w:fill="ED7D31"/>
          </w:tcPr>
          <w:p w14:paraId="4ED720A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E0D6BD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974A785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4B5B06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4F000D9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60E8A4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D4E7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5498DA1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3858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400C06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4756C9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0156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2767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6E5A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61E2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F814DF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B27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94A1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13BAE9A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4A395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532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5DCF908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EE9069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4CAF9C9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817018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75A28C7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77F42ED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6DB6A894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36E1CF2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Psykiatrilov</w:t>
            </w:r>
          </w:p>
          <w:p w14:paraId="0259280A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161BCFC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Delegation</w:t>
            </w:r>
          </w:p>
          <w:p w14:paraId="0D9BCF9E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sundhedsperson- databehandling</w:t>
            </w:r>
          </w:p>
          <w:p w14:paraId="2D78902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social- og sundhedsassistentens praksis</w:t>
            </w:r>
          </w:p>
          <w:p w14:paraId="053E1084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390C59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774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3DA181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0DC4A0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E11F16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6A89F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A5FE26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B7D995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710F4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863DAC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BEE4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E9A038E" w14:textId="77777777" w:rsidR="00400C06" w:rsidRDefault="00D5332A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400C06" w14:paraId="3997FAF7" w14:textId="77777777" w:rsidTr="00400C06">
        <w:tc>
          <w:tcPr>
            <w:tcW w:w="4942" w:type="dxa"/>
            <w:shd w:val="clear" w:color="auto" w:fill="ED7D31"/>
          </w:tcPr>
          <w:p w14:paraId="0587493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210624D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400C06" w14:paraId="344EC7EC" w14:textId="77777777" w:rsidTr="00400C06">
        <w:tc>
          <w:tcPr>
            <w:tcW w:w="4942" w:type="dxa"/>
            <w:shd w:val="clear" w:color="auto" w:fill="auto"/>
          </w:tcPr>
          <w:p w14:paraId="1683AB2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49AD57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8BC8F6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A93D7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A8C01F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DF4BB1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E678465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00C06" w14:paraId="2C28605C" w14:textId="77777777" w:rsidTr="00400C06">
        <w:tc>
          <w:tcPr>
            <w:tcW w:w="4942" w:type="dxa"/>
            <w:shd w:val="clear" w:color="auto" w:fill="ED7D31"/>
          </w:tcPr>
          <w:p w14:paraId="4D58692C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3C79EEA" w14:textId="77777777" w:rsidR="00400C06" w:rsidRPr="007A3D48" w:rsidRDefault="00400C06" w:rsidP="00400C0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4056BBC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02DB9E" w14:textId="77777777" w:rsidR="00400C06" w:rsidRDefault="00400C06" w:rsidP="00400C06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BB031D0" w14:textId="77777777" w:rsidR="00D5332A" w:rsidRDefault="00D5332A" w:rsidP="00400C0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73C45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3F2367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5048A9D7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E074D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ved afslutning af praktikperioden som supplement til ovenstående hjælpeskema.</w:t>
            </w:r>
          </w:p>
          <w:p w14:paraId="4CAAE991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Relevante informationer til næste skole- og praktikperiode,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F3C49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52E457B8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87779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6FFC12AE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3465801E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34F0CFBF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155EABDB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6BF39F63" w14:textId="77777777" w:rsidR="0070015F" w:rsidRDefault="0070015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686F5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D060B48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EB900B" w14:textId="77777777" w:rsidR="0070015F" w:rsidRDefault="0070015F" w:rsidP="0070015F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700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0203EF"/>
    <w:rsid w:val="000F0CDC"/>
    <w:rsid w:val="001C2A60"/>
    <w:rsid w:val="001D1933"/>
    <w:rsid w:val="0034477B"/>
    <w:rsid w:val="003D7E0C"/>
    <w:rsid w:val="00400C06"/>
    <w:rsid w:val="00596A18"/>
    <w:rsid w:val="00660B21"/>
    <w:rsid w:val="006A4889"/>
    <w:rsid w:val="0070015F"/>
    <w:rsid w:val="007A3D48"/>
    <w:rsid w:val="007B2884"/>
    <w:rsid w:val="007E7D60"/>
    <w:rsid w:val="00922203"/>
    <w:rsid w:val="00BC2CD8"/>
    <w:rsid w:val="00D5332A"/>
    <w:rsid w:val="00D603CC"/>
    <w:rsid w:val="00D669A4"/>
    <w:rsid w:val="00DA6960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823C0"/>
  <w15:chartTrackingRefBased/>
  <w15:docId w15:val="{F4223222-D471-4106-84FB-816E38F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0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2345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2</cp:revision>
  <dcterms:created xsi:type="dcterms:W3CDTF">2021-11-09T13:27:00Z</dcterms:created>
  <dcterms:modified xsi:type="dcterms:W3CDTF">2021-11-09T13:27:00Z</dcterms:modified>
</cp:coreProperties>
</file>