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F7534" w14:textId="3DC06F2D" w:rsidR="005A3888" w:rsidRDefault="004E4ABD" w:rsidP="00623E54">
      <w:pPr>
        <w:rPr>
          <w:rFonts w:ascii="Verdana" w:hAnsi="Verdana"/>
        </w:rPr>
      </w:pPr>
      <w:r>
        <w:rPr>
          <w:rFonts w:ascii="Verdana" w:hAnsi="Verdana"/>
        </w:rPr>
        <w:t>Idealskema Farmakologi:</w:t>
      </w:r>
    </w:p>
    <w:p w14:paraId="1639A0FD" w14:textId="77777777" w:rsidR="004E4ABD" w:rsidRPr="00196D62" w:rsidRDefault="004E4ABD" w:rsidP="00623E54">
      <w:pPr>
        <w:rPr>
          <w:rFonts w:ascii="Verdana" w:hAnsi="Verdana"/>
        </w:rPr>
      </w:pPr>
    </w:p>
    <w:tbl>
      <w:tblPr>
        <w:tblStyle w:val="Tabel-Gitter"/>
        <w:tblW w:w="8500" w:type="dxa"/>
        <w:shd w:val="clear" w:color="auto" w:fill="FF9933"/>
        <w:tblLayout w:type="fixed"/>
        <w:tblLook w:val="04A0" w:firstRow="1" w:lastRow="0" w:firstColumn="1" w:lastColumn="0" w:noHBand="0" w:noVBand="1"/>
      </w:tblPr>
      <w:tblGrid>
        <w:gridCol w:w="1068"/>
        <w:gridCol w:w="7432"/>
      </w:tblGrid>
      <w:tr w:rsidR="004E4ABD" w:rsidRPr="00196D62" w14:paraId="181D2089" w14:textId="77777777" w:rsidTr="004E4ABD">
        <w:tc>
          <w:tcPr>
            <w:tcW w:w="1068" w:type="dxa"/>
            <w:shd w:val="clear" w:color="auto" w:fill="92D050"/>
          </w:tcPr>
          <w:p w14:paraId="05D026C8" w14:textId="77777777" w:rsidR="004E4ABD" w:rsidRPr="00196D62" w:rsidRDefault="004E4ABD" w:rsidP="00ED2D6B">
            <w:pPr>
              <w:rPr>
                <w:rFonts w:ascii="Verdana" w:hAnsi="Verdana"/>
                <w:color w:val="FFFFFF" w:themeColor="background1"/>
              </w:rPr>
            </w:pPr>
            <w:r w:rsidRPr="00196D62">
              <w:rPr>
                <w:rFonts w:ascii="Verdana" w:hAnsi="Verdana"/>
                <w:color w:val="FFFFFF" w:themeColor="background1"/>
              </w:rPr>
              <w:t>Dato</w:t>
            </w:r>
          </w:p>
          <w:p w14:paraId="1D6C86CC" w14:textId="77777777" w:rsidR="004E4ABD" w:rsidRPr="00196D62" w:rsidRDefault="004E4ABD" w:rsidP="00ED2D6B">
            <w:pPr>
              <w:rPr>
                <w:rFonts w:ascii="Verdana" w:hAnsi="Verdana"/>
                <w:color w:val="92D050"/>
              </w:rPr>
            </w:pPr>
            <w:r w:rsidRPr="00196D62">
              <w:rPr>
                <w:rFonts w:ascii="Verdana" w:hAnsi="Verdana"/>
                <w:color w:val="FFFFFF" w:themeColor="background1"/>
              </w:rPr>
              <w:t>Underviser</w:t>
            </w:r>
          </w:p>
        </w:tc>
        <w:tc>
          <w:tcPr>
            <w:tcW w:w="7432" w:type="dxa"/>
            <w:shd w:val="clear" w:color="auto" w:fill="92D050"/>
          </w:tcPr>
          <w:p w14:paraId="677C062A" w14:textId="77777777" w:rsidR="004E4ABD" w:rsidRPr="00196D62" w:rsidRDefault="004E4ABD" w:rsidP="00ED2D6B">
            <w:pPr>
              <w:rPr>
                <w:rFonts w:ascii="Verdana" w:hAnsi="Verdana"/>
                <w:color w:val="FFFFFF" w:themeColor="background1"/>
              </w:rPr>
            </w:pPr>
            <w:r w:rsidRPr="00196D62">
              <w:rPr>
                <w:rFonts w:ascii="Verdana" w:hAnsi="Verdana"/>
                <w:color w:val="FFFFFF" w:themeColor="background1"/>
              </w:rPr>
              <w:t>Indhold</w:t>
            </w:r>
          </w:p>
        </w:tc>
      </w:tr>
      <w:tr w:rsidR="00B00683" w:rsidRPr="00196D62" w14:paraId="1D2C5BB6" w14:textId="77777777" w:rsidTr="00B00683">
        <w:tblPrEx>
          <w:shd w:val="clear" w:color="auto" w:fill="auto"/>
        </w:tblPrEx>
        <w:tc>
          <w:tcPr>
            <w:tcW w:w="1068" w:type="dxa"/>
            <w:shd w:val="clear" w:color="auto" w:fill="70AD47" w:themeFill="accent6"/>
          </w:tcPr>
          <w:p w14:paraId="373155FA" w14:textId="77777777" w:rsidR="00B00683" w:rsidRDefault="00B00683" w:rsidP="0059389C">
            <w:pPr>
              <w:rPr>
                <w:rFonts w:ascii="Verdana" w:hAnsi="Verdana"/>
              </w:rPr>
            </w:pPr>
          </w:p>
        </w:tc>
        <w:tc>
          <w:tcPr>
            <w:tcW w:w="7432" w:type="dxa"/>
            <w:shd w:val="clear" w:color="auto" w:fill="70AD47" w:themeFill="accent6"/>
          </w:tcPr>
          <w:p w14:paraId="7ABC1987" w14:textId="298C8F88" w:rsidR="00B00683" w:rsidRDefault="00B00683" w:rsidP="00ED2D6B">
            <w:pPr>
              <w:rPr>
                <w:rFonts w:ascii="Verdana" w:hAnsi="Verdana"/>
              </w:rPr>
            </w:pPr>
            <w:r>
              <w:rPr>
                <w:rFonts w:ascii="Verdana" w:hAnsi="Verdana"/>
              </w:rPr>
              <w:t>SKOLEPERIODE 1B</w:t>
            </w:r>
          </w:p>
        </w:tc>
      </w:tr>
      <w:tr w:rsidR="004E4ABD" w:rsidRPr="00196D62" w14:paraId="59BE8DBB" w14:textId="77777777" w:rsidTr="004E4ABD">
        <w:tblPrEx>
          <w:shd w:val="clear" w:color="auto" w:fill="auto"/>
        </w:tblPrEx>
        <w:tc>
          <w:tcPr>
            <w:tcW w:w="1068" w:type="dxa"/>
          </w:tcPr>
          <w:p w14:paraId="22344E93" w14:textId="77777777" w:rsidR="004E4ABD" w:rsidRDefault="004E4ABD" w:rsidP="0059389C">
            <w:pPr>
              <w:rPr>
                <w:rFonts w:ascii="Verdana" w:hAnsi="Verdana"/>
              </w:rPr>
            </w:pPr>
            <w:r>
              <w:rPr>
                <w:rFonts w:ascii="Verdana" w:hAnsi="Verdana"/>
              </w:rPr>
              <w:t>1 dag</w:t>
            </w:r>
          </w:p>
          <w:p w14:paraId="49E40FD7" w14:textId="77777777" w:rsidR="004E4ABD" w:rsidRDefault="004E4ABD" w:rsidP="0059389C">
            <w:pPr>
              <w:rPr>
                <w:rFonts w:ascii="Verdana" w:hAnsi="Verdana"/>
              </w:rPr>
            </w:pPr>
          </w:p>
          <w:p w14:paraId="4DDFD833" w14:textId="4BB7166C" w:rsidR="004E4ABD" w:rsidRPr="00196D62" w:rsidRDefault="004E4ABD" w:rsidP="0059389C">
            <w:pPr>
              <w:rPr>
                <w:rFonts w:ascii="Verdana" w:hAnsi="Verdana"/>
              </w:rPr>
            </w:pPr>
          </w:p>
        </w:tc>
        <w:tc>
          <w:tcPr>
            <w:tcW w:w="7432" w:type="dxa"/>
          </w:tcPr>
          <w:p w14:paraId="3D4C8223" w14:textId="77777777" w:rsidR="004E4ABD" w:rsidRDefault="004E4ABD" w:rsidP="00ED2D6B">
            <w:pPr>
              <w:rPr>
                <w:rFonts w:ascii="Verdana" w:hAnsi="Verdana"/>
              </w:rPr>
            </w:pPr>
            <w:r>
              <w:rPr>
                <w:rFonts w:ascii="Verdana" w:hAnsi="Verdana"/>
              </w:rPr>
              <w:t>Intro til faget</w:t>
            </w:r>
          </w:p>
          <w:p w14:paraId="3B62227C" w14:textId="77777777" w:rsidR="004E4ABD" w:rsidRDefault="004E4ABD" w:rsidP="00ED2D6B">
            <w:pPr>
              <w:rPr>
                <w:rFonts w:ascii="Verdana" w:hAnsi="Verdana"/>
              </w:rPr>
            </w:pPr>
          </w:p>
          <w:p w14:paraId="5E338558" w14:textId="77777777" w:rsidR="004E4ABD" w:rsidRDefault="004E4ABD" w:rsidP="00ED2D6B">
            <w:pPr>
              <w:rPr>
                <w:rFonts w:ascii="Verdana" w:hAnsi="Verdana"/>
              </w:rPr>
            </w:pPr>
            <w:r>
              <w:rPr>
                <w:rFonts w:ascii="Verdana" w:hAnsi="Verdana"/>
              </w:rPr>
              <w:t>SSA`s kompetence i forhold til medicinadministration.</w:t>
            </w:r>
          </w:p>
          <w:p w14:paraId="0C1CE30E" w14:textId="77777777" w:rsidR="004E4ABD" w:rsidRDefault="004E4ABD" w:rsidP="00ED2D6B">
            <w:pPr>
              <w:rPr>
                <w:rFonts w:ascii="Verdana" w:hAnsi="Verdana"/>
              </w:rPr>
            </w:pPr>
          </w:p>
          <w:p w14:paraId="4650A8B7" w14:textId="269ECE0D" w:rsidR="004E4ABD" w:rsidRDefault="004E4ABD" w:rsidP="00ED2D6B">
            <w:pPr>
              <w:rPr>
                <w:rFonts w:ascii="Verdana" w:hAnsi="Verdana"/>
              </w:rPr>
            </w:pPr>
            <w:r>
              <w:rPr>
                <w:rFonts w:ascii="Verdana" w:hAnsi="Verdana"/>
              </w:rPr>
              <w:t>Lovgivning, ansvar og pligter, UTH</w:t>
            </w:r>
          </w:p>
          <w:p w14:paraId="6161C150" w14:textId="7E42171D" w:rsidR="004E4ABD" w:rsidRDefault="004E4ABD" w:rsidP="00ED2D6B">
            <w:pPr>
              <w:rPr>
                <w:rFonts w:ascii="Verdana" w:hAnsi="Verdana"/>
              </w:rPr>
            </w:pPr>
          </w:p>
          <w:p w14:paraId="487DB9CE" w14:textId="06778840" w:rsidR="004E4ABD" w:rsidRDefault="004E4ABD" w:rsidP="00ED2D6B">
            <w:pPr>
              <w:rPr>
                <w:rFonts w:ascii="Verdana" w:hAnsi="Verdana"/>
              </w:rPr>
            </w:pPr>
          </w:p>
          <w:p w14:paraId="1F75F7B8" w14:textId="5FD6C1D7" w:rsidR="004E4ABD" w:rsidRPr="00196D62" w:rsidRDefault="004E4ABD" w:rsidP="00ED2D6B">
            <w:pPr>
              <w:rPr>
                <w:rFonts w:ascii="Verdana" w:hAnsi="Verdana"/>
              </w:rPr>
            </w:pPr>
          </w:p>
        </w:tc>
        <w:bookmarkStart w:id="0" w:name="_GoBack"/>
        <w:bookmarkEnd w:id="0"/>
      </w:tr>
      <w:tr w:rsidR="004E4ABD" w:rsidRPr="00196D62" w14:paraId="2E5AC440" w14:textId="77777777" w:rsidTr="004E4ABD">
        <w:tblPrEx>
          <w:shd w:val="clear" w:color="auto" w:fill="auto"/>
        </w:tblPrEx>
        <w:tc>
          <w:tcPr>
            <w:tcW w:w="1068" w:type="dxa"/>
          </w:tcPr>
          <w:p w14:paraId="3F728700" w14:textId="77777777" w:rsidR="004E4ABD" w:rsidRDefault="004E4ABD" w:rsidP="00ED2D6B">
            <w:pPr>
              <w:rPr>
                <w:rFonts w:ascii="Verdana" w:hAnsi="Verdana"/>
              </w:rPr>
            </w:pPr>
            <w:r>
              <w:rPr>
                <w:rFonts w:ascii="Verdana" w:hAnsi="Verdana"/>
              </w:rPr>
              <w:t>1 dag</w:t>
            </w:r>
          </w:p>
          <w:p w14:paraId="6DB92861" w14:textId="77777777" w:rsidR="004E4ABD" w:rsidRDefault="004E4ABD" w:rsidP="00ED2D6B">
            <w:pPr>
              <w:rPr>
                <w:rFonts w:ascii="Verdana" w:hAnsi="Verdana"/>
              </w:rPr>
            </w:pPr>
          </w:p>
          <w:p w14:paraId="529D708D" w14:textId="588E1291" w:rsidR="004E4ABD" w:rsidRPr="00196D62" w:rsidRDefault="004E4ABD" w:rsidP="00ED2D6B">
            <w:pPr>
              <w:rPr>
                <w:rFonts w:ascii="Verdana" w:hAnsi="Verdana"/>
              </w:rPr>
            </w:pPr>
            <w:r w:rsidRPr="00B00683">
              <w:rPr>
                <w:rFonts w:ascii="Verdana" w:hAnsi="Verdana"/>
                <w:highlight w:val="yellow"/>
              </w:rPr>
              <w:t>Skal være lang dag</w:t>
            </w:r>
          </w:p>
        </w:tc>
        <w:tc>
          <w:tcPr>
            <w:tcW w:w="7432" w:type="dxa"/>
          </w:tcPr>
          <w:p w14:paraId="1B0ECE51" w14:textId="7078A41E" w:rsidR="004E4ABD" w:rsidRDefault="004E4ABD" w:rsidP="00D058D6">
            <w:pPr>
              <w:rPr>
                <w:rFonts w:ascii="Verdana" w:eastAsia="Calibri" w:hAnsi="Verdana" w:cs="Times New Roman"/>
              </w:rPr>
            </w:pPr>
            <w:r>
              <w:rPr>
                <w:rFonts w:ascii="Verdana" w:eastAsia="Calibri" w:hAnsi="Verdana" w:cs="Times New Roman"/>
              </w:rPr>
              <w:t xml:space="preserve">Almen farmakologi – farmakokinetik og farmakodynamik </w:t>
            </w:r>
          </w:p>
          <w:p w14:paraId="5F3CFF2B" w14:textId="75EBC138" w:rsidR="004E4ABD" w:rsidRDefault="004E4ABD" w:rsidP="00D058D6">
            <w:pPr>
              <w:rPr>
                <w:rFonts w:ascii="Verdana" w:eastAsia="Calibri" w:hAnsi="Verdana" w:cs="Times New Roman"/>
              </w:rPr>
            </w:pPr>
            <w:r>
              <w:rPr>
                <w:rFonts w:ascii="Verdana" w:eastAsia="Calibri" w:hAnsi="Verdana" w:cs="Times New Roman"/>
              </w:rPr>
              <w:t>Intro til pro.medicin</w:t>
            </w:r>
          </w:p>
          <w:p w14:paraId="3B1375E7" w14:textId="50C61BBA" w:rsidR="004E4ABD" w:rsidRDefault="004E4ABD" w:rsidP="00D058D6">
            <w:pPr>
              <w:rPr>
                <w:rFonts w:ascii="Verdana" w:eastAsia="Calibri" w:hAnsi="Verdana" w:cs="Times New Roman"/>
              </w:rPr>
            </w:pPr>
            <w:r>
              <w:rPr>
                <w:rFonts w:ascii="Verdana" w:eastAsia="Calibri" w:hAnsi="Verdana" w:cs="Times New Roman"/>
              </w:rPr>
              <w:t>Intro til praktikopgave</w:t>
            </w:r>
          </w:p>
          <w:p w14:paraId="24242B20" w14:textId="078F2F1B" w:rsidR="004E4ABD" w:rsidRPr="00196D62" w:rsidRDefault="004E4ABD" w:rsidP="00D058D6">
            <w:pPr>
              <w:rPr>
                <w:rFonts w:ascii="Verdana" w:eastAsia="Calibri" w:hAnsi="Verdana" w:cs="Times New Roman"/>
              </w:rPr>
            </w:pPr>
          </w:p>
        </w:tc>
      </w:tr>
      <w:tr w:rsidR="00B00683" w:rsidRPr="00196D62" w14:paraId="40B53C50" w14:textId="77777777" w:rsidTr="00B00683">
        <w:tblPrEx>
          <w:shd w:val="clear" w:color="auto" w:fill="auto"/>
        </w:tblPrEx>
        <w:tc>
          <w:tcPr>
            <w:tcW w:w="1068" w:type="dxa"/>
            <w:shd w:val="clear" w:color="auto" w:fill="70AD47" w:themeFill="accent6"/>
          </w:tcPr>
          <w:p w14:paraId="5B95AD82" w14:textId="77777777" w:rsidR="00B00683" w:rsidRDefault="00B00683" w:rsidP="00ED2D6B">
            <w:pPr>
              <w:rPr>
                <w:rFonts w:ascii="Verdana" w:hAnsi="Verdana"/>
              </w:rPr>
            </w:pPr>
          </w:p>
        </w:tc>
        <w:tc>
          <w:tcPr>
            <w:tcW w:w="7432" w:type="dxa"/>
            <w:shd w:val="clear" w:color="auto" w:fill="70AD47" w:themeFill="accent6"/>
          </w:tcPr>
          <w:p w14:paraId="182E3BB5" w14:textId="244861F0" w:rsidR="00B00683" w:rsidRDefault="00B00683" w:rsidP="00D058D6">
            <w:pPr>
              <w:rPr>
                <w:rFonts w:ascii="Verdana" w:eastAsia="Calibri" w:hAnsi="Verdana" w:cs="Times New Roman"/>
              </w:rPr>
            </w:pPr>
            <w:r>
              <w:rPr>
                <w:rFonts w:ascii="Verdana" w:eastAsia="Calibri" w:hAnsi="Verdana" w:cs="Times New Roman"/>
              </w:rPr>
              <w:t>SKOLEPERIODE 2</w:t>
            </w:r>
          </w:p>
        </w:tc>
      </w:tr>
      <w:tr w:rsidR="004E4ABD" w:rsidRPr="00196D62" w14:paraId="2CB2317B" w14:textId="77777777" w:rsidTr="004E4ABD">
        <w:tblPrEx>
          <w:shd w:val="clear" w:color="auto" w:fill="auto"/>
        </w:tblPrEx>
        <w:tc>
          <w:tcPr>
            <w:tcW w:w="1068" w:type="dxa"/>
          </w:tcPr>
          <w:p w14:paraId="320786AA" w14:textId="77777777" w:rsidR="004E4ABD" w:rsidRDefault="004E4ABD" w:rsidP="0097173B">
            <w:pPr>
              <w:rPr>
                <w:rFonts w:ascii="Verdana" w:hAnsi="Verdana"/>
              </w:rPr>
            </w:pPr>
            <w:r>
              <w:rPr>
                <w:rFonts w:ascii="Verdana" w:hAnsi="Verdana"/>
              </w:rPr>
              <w:t>½ dag</w:t>
            </w:r>
          </w:p>
          <w:p w14:paraId="76C26D10" w14:textId="77777777" w:rsidR="00B00683" w:rsidRDefault="00B00683" w:rsidP="0097173B">
            <w:pPr>
              <w:rPr>
                <w:rFonts w:ascii="Verdana" w:hAnsi="Verdana"/>
              </w:rPr>
            </w:pPr>
          </w:p>
          <w:p w14:paraId="185367A8" w14:textId="65C5F7DB" w:rsidR="00B00683" w:rsidRPr="00196D62" w:rsidRDefault="00B00683" w:rsidP="0097173B">
            <w:pPr>
              <w:rPr>
                <w:rFonts w:ascii="Verdana" w:hAnsi="Verdana"/>
              </w:rPr>
            </w:pPr>
          </w:p>
        </w:tc>
        <w:tc>
          <w:tcPr>
            <w:tcW w:w="7432" w:type="dxa"/>
          </w:tcPr>
          <w:p w14:paraId="52BC4A9B" w14:textId="77777777" w:rsidR="004E4ABD" w:rsidRDefault="004E4ABD" w:rsidP="0097173B">
            <w:pPr>
              <w:rPr>
                <w:rFonts w:ascii="Verdana" w:hAnsi="Verdana"/>
              </w:rPr>
            </w:pPr>
            <w:r>
              <w:rPr>
                <w:rFonts w:ascii="Verdana" w:hAnsi="Verdana"/>
              </w:rPr>
              <w:t xml:space="preserve">Intro </w:t>
            </w:r>
          </w:p>
          <w:p w14:paraId="1C870D74" w14:textId="77777777" w:rsidR="004E4ABD" w:rsidRDefault="004E4ABD" w:rsidP="0097173B">
            <w:pPr>
              <w:rPr>
                <w:rFonts w:ascii="Verdana" w:hAnsi="Verdana"/>
              </w:rPr>
            </w:pPr>
            <w:r>
              <w:rPr>
                <w:rFonts w:ascii="Verdana" w:hAnsi="Verdana"/>
              </w:rPr>
              <w:t>Problemstillinger og dilemmaer fra praktik</w:t>
            </w:r>
          </w:p>
          <w:p w14:paraId="041BD943" w14:textId="77777777" w:rsidR="004E4ABD" w:rsidRDefault="004E4ABD" w:rsidP="0097173B">
            <w:pPr>
              <w:rPr>
                <w:rFonts w:ascii="Verdana" w:hAnsi="Verdana"/>
              </w:rPr>
            </w:pPr>
          </w:p>
          <w:p w14:paraId="3B6A82B5" w14:textId="77777777" w:rsidR="004E4ABD" w:rsidRDefault="004E4ABD" w:rsidP="0097173B">
            <w:pPr>
              <w:rPr>
                <w:rFonts w:ascii="Verdana" w:hAnsi="Verdana"/>
              </w:rPr>
            </w:pPr>
            <w:r>
              <w:rPr>
                <w:rFonts w:ascii="Verdana" w:hAnsi="Verdana"/>
              </w:rPr>
              <w:t>Medicinpædagogik med fokus på borgeren med psykisk sygdom</w:t>
            </w:r>
          </w:p>
          <w:p w14:paraId="00252968" w14:textId="77777777" w:rsidR="004E4ABD" w:rsidRPr="00196D62" w:rsidRDefault="004E4ABD" w:rsidP="0097173B">
            <w:pPr>
              <w:rPr>
                <w:rFonts w:ascii="Verdana" w:hAnsi="Verdana"/>
              </w:rPr>
            </w:pPr>
            <w:r>
              <w:rPr>
                <w:rFonts w:ascii="Verdana" w:hAnsi="Verdana"/>
              </w:rPr>
              <w:t>Risiko LM, Polyfarmaci og arbejdsmiljø</w:t>
            </w:r>
          </w:p>
        </w:tc>
      </w:tr>
      <w:tr w:rsidR="004E4ABD" w:rsidRPr="00196D62" w14:paraId="7E992494" w14:textId="77777777" w:rsidTr="004E4ABD">
        <w:tblPrEx>
          <w:shd w:val="clear" w:color="auto" w:fill="auto"/>
        </w:tblPrEx>
        <w:tc>
          <w:tcPr>
            <w:tcW w:w="1068" w:type="dxa"/>
          </w:tcPr>
          <w:p w14:paraId="4B210617" w14:textId="77777777" w:rsidR="004E4ABD" w:rsidRPr="00196D62" w:rsidRDefault="004E4ABD" w:rsidP="0097173B">
            <w:pPr>
              <w:rPr>
                <w:rFonts w:ascii="Verdana" w:hAnsi="Verdana"/>
              </w:rPr>
            </w:pPr>
            <w:r>
              <w:rPr>
                <w:rFonts w:ascii="Verdana" w:hAnsi="Verdana"/>
              </w:rPr>
              <w:t>1 dag</w:t>
            </w:r>
          </w:p>
          <w:p w14:paraId="4CF37061" w14:textId="77777777" w:rsidR="004E4ABD" w:rsidRDefault="004E4ABD" w:rsidP="0097173B">
            <w:pPr>
              <w:rPr>
                <w:rFonts w:ascii="Verdana" w:hAnsi="Verdana"/>
              </w:rPr>
            </w:pPr>
          </w:p>
          <w:p w14:paraId="322B12C7" w14:textId="77777777" w:rsidR="004E4ABD" w:rsidRPr="00196D62" w:rsidRDefault="004E4ABD" w:rsidP="0097173B">
            <w:pPr>
              <w:rPr>
                <w:rFonts w:ascii="Verdana" w:hAnsi="Verdana"/>
              </w:rPr>
            </w:pPr>
          </w:p>
          <w:p w14:paraId="397C3875" w14:textId="77777777" w:rsidR="004E4ABD" w:rsidRPr="00196D62" w:rsidRDefault="004E4ABD" w:rsidP="0097173B">
            <w:pPr>
              <w:rPr>
                <w:rFonts w:ascii="Verdana" w:hAnsi="Verdana"/>
              </w:rPr>
            </w:pPr>
          </w:p>
        </w:tc>
        <w:tc>
          <w:tcPr>
            <w:tcW w:w="7432" w:type="dxa"/>
          </w:tcPr>
          <w:p w14:paraId="6D8EA403" w14:textId="77777777" w:rsidR="004E4ABD" w:rsidRDefault="004E4ABD" w:rsidP="0097173B">
            <w:pPr>
              <w:rPr>
                <w:rFonts w:ascii="Verdana" w:eastAsia="Calibri" w:hAnsi="Verdana" w:cs="Times New Roman"/>
              </w:rPr>
            </w:pPr>
            <w:r>
              <w:rPr>
                <w:rFonts w:ascii="Verdana" w:eastAsia="Calibri" w:hAnsi="Verdana" w:cs="Times New Roman"/>
              </w:rPr>
              <w:t>Medicinsk behandling af borgere med depression og angst, samt borgere med demens sygdom</w:t>
            </w:r>
          </w:p>
          <w:p w14:paraId="1436FA2F" w14:textId="77777777" w:rsidR="004E4ABD" w:rsidRDefault="004E4ABD" w:rsidP="0097173B">
            <w:pPr>
              <w:rPr>
                <w:rFonts w:ascii="Verdana" w:eastAsia="Calibri" w:hAnsi="Verdana" w:cs="Times New Roman"/>
              </w:rPr>
            </w:pPr>
          </w:p>
          <w:p w14:paraId="1C28908D" w14:textId="77777777" w:rsidR="004E4ABD" w:rsidRDefault="004E4ABD" w:rsidP="0097173B">
            <w:pPr>
              <w:rPr>
                <w:rFonts w:ascii="Verdana" w:eastAsia="Calibri" w:hAnsi="Verdana" w:cs="Times New Roman"/>
              </w:rPr>
            </w:pPr>
            <w:r>
              <w:rPr>
                <w:rFonts w:ascii="Verdana" w:eastAsia="Calibri" w:hAnsi="Verdana" w:cs="Times New Roman"/>
              </w:rPr>
              <w:t>Tolerans udvikling</w:t>
            </w:r>
          </w:p>
          <w:p w14:paraId="5B3E42E5" w14:textId="77777777" w:rsidR="004E4ABD" w:rsidRPr="00196D62" w:rsidRDefault="004E4ABD" w:rsidP="0097173B">
            <w:pPr>
              <w:rPr>
                <w:rFonts w:ascii="Verdana" w:eastAsia="Calibri" w:hAnsi="Verdana" w:cs="Times New Roman"/>
              </w:rPr>
            </w:pPr>
            <w:r>
              <w:rPr>
                <w:rFonts w:ascii="Verdana" w:eastAsia="Calibri" w:hAnsi="Verdana" w:cs="Times New Roman"/>
              </w:rPr>
              <w:t>Metabolisk syndrom</w:t>
            </w:r>
          </w:p>
        </w:tc>
      </w:tr>
      <w:tr w:rsidR="004E4ABD" w:rsidRPr="00196D62" w14:paraId="567CB62A" w14:textId="77777777" w:rsidTr="004E4ABD">
        <w:tblPrEx>
          <w:shd w:val="clear" w:color="auto" w:fill="auto"/>
        </w:tblPrEx>
        <w:tc>
          <w:tcPr>
            <w:tcW w:w="1068" w:type="dxa"/>
          </w:tcPr>
          <w:p w14:paraId="541D365A" w14:textId="77777777" w:rsidR="004E4ABD" w:rsidRPr="00196D62" w:rsidRDefault="004E4ABD" w:rsidP="0097173B">
            <w:pPr>
              <w:rPr>
                <w:rFonts w:ascii="Verdana" w:hAnsi="Verdana"/>
              </w:rPr>
            </w:pPr>
            <w:r>
              <w:rPr>
                <w:rFonts w:ascii="Verdana" w:hAnsi="Verdana"/>
              </w:rPr>
              <w:lastRenderedPageBreak/>
              <w:t>1 dag</w:t>
            </w:r>
          </w:p>
        </w:tc>
        <w:tc>
          <w:tcPr>
            <w:tcW w:w="7432" w:type="dxa"/>
          </w:tcPr>
          <w:p w14:paraId="7FBB0CCF" w14:textId="77777777" w:rsidR="004E4ABD" w:rsidRDefault="004E4ABD" w:rsidP="0097173B">
            <w:pPr>
              <w:rPr>
                <w:rFonts w:ascii="Verdana" w:hAnsi="Verdana"/>
              </w:rPr>
            </w:pPr>
            <w:r>
              <w:rPr>
                <w:rFonts w:ascii="Verdana" w:hAnsi="Verdana"/>
              </w:rPr>
              <w:t>Medicinsk behandling til borgere med psykotiske tilstande</w:t>
            </w:r>
          </w:p>
          <w:p w14:paraId="45E7538A" w14:textId="77777777" w:rsidR="004E4ABD" w:rsidRPr="00196D62" w:rsidRDefault="004E4ABD" w:rsidP="0097173B">
            <w:pPr>
              <w:rPr>
                <w:rFonts w:ascii="Verdana" w:hAnsi="Verdana"/>
              </w:rPr>
            </w:pPr>
          </w:p>
        </w:tc>
      </w:tr>
      <w:tr w:rsidR="004E4ABD" w:rsidRPr="00196D62" w14:paraId="674F7D63" w14:textId="77777777" w:rsidTr="004E4ABD">
        <w:tblPrEx>
          <w:shd w:val="clear" w:color="auto" w:fill="auto"/>
        </w:tblPrEx>
        <w:tc>
          <w:tcPr>
            <w:tcW w:w="1068" w:type="dxa"/>
          </w:tcPr>
          <w:p w14:paraId="09654BB8" w14:textId="77777777" w:rsidR="004E4ABD" w:rsidRPr="00196D62" w:rsidRDefault="004E4ABD" w:rsidP="0097173B">
            <w:pPr>
              <w:rPr>
                <w:rFonts w:ascii="Verdana" w:hAnsi="Verdana"/>
              </w:rPr>
            </w:pPr>
            <w:r>
              <w:rPr>
                <w:rFonts w:ascii="Verdana" w:hAnsi="Verdana"/>
              </w:rPr>
              <w:t>1 dag</w:t>
            </w:r>
          </w:p>
        </w:tc>
        <w:tc>
          <w:tcPr>
            <w:tcW w:w="7432" w:type="dxa"/>
          </w:tcPr>
          <w:p w14:paraId="0E1678E3" w14:textId="77777777" w:rsidR="004E4ABD" w:rsidRDefault="004E4ABD" w:rsidP="0097173B">
            <w:pPr>
              <w:rPr>
                <w:rFonts w:ascii="Verdana" w:eastAsia="Calibri" w:hAnsi="Verdana" w:cs="Times New Roman"/>
              </w:rPr>
            </w:pPr>
            <w:r>
              <w:rPr>
                <w:rFonts w:ascii="Verdana" w:eastAsia="Calibri" w:hAnsi="Verdana" w:cs="Times New Roman"/>
              </w:rPr>
              <w:t>Smertebehandling, farmakologisk og non-farmakologisk</w:t>
            </w:r>
          </w:p>
          <w:p w14:paraId="0F2841EF" w14:textId="77777777" w:rsidR="004E4ABD" w:rsidRDefault="004E4ABD" w:rsidP="0097173B">
            <w:pPr>
              <w:rPr>
                <w:rFonts w:ascii="Verdana" w:eastAsia="Calibri" w:hAnsi="Verdana" w:cs="Times New Roman"/>
              </w:rPr>
            </w:pPr>
          </w:p>
          <w:p w14:paraId="16761A69" w14:textId="77777777" w:rsidR="004E4ABD" w:rsidRDefault="004E4ABD" w:rsidP="0097173B">
            <w:pPr>
              <w:rPr>
                <w:rFonts w:ascii="Verdana" w:eastAsia="Calibri" w:hAnsi="Verdana" w:cs="Times New Roman"/>
              </w:rPr>
            </w:pPr>
            <w:r>
              <w:rPr>
                <w:rFonts w:ascii="Verdana" w:eastAsia="Calibri" w:hAnsi="Verdana" w:cs="Times New Roman"/>
              </w:rPr>
              <w:t xml:space="preserve">Laksantia </w:t>
            </w:r>
          </w:p>
          <w:p w14:paraId="4BDFE48B" w14:textId="77777777" w:rsidR="004E4ABD" w:rsidRPr="00196D62" w:rsidRDefault="004E4ABD" w:rsidP="0097173B">
            <w:pPr>
              <w:rPr>
                <w:rFonts w:ascii="Verdana" w:eastAsia="Calibri" w:hAnsi="Verdana" w:cs="Times New Roman"/>
              </w:rPr>
            </w:pPr>
            <w:r>
              <w:rPr>
                <w:rFonts w:ascii="Verdana" w:eastAsia="Calibri" w:hAnsi="Verdana" w:cs="Times New Roman"/>
              </w:rPr>
              <w:t>Antiemetika</w:t>
            </w:r>
          </w:p>
        </w:tc>
      </w:tr>
      <w:tr w:rsidR="004E4ABD" w:rsidRPr="00196D62" w14:paraId="13C349FA" w14:textId="77777777" w:rsidTr="004E4ABD">
        <w:tblPrEx>
          <w:shd w:val="clear" w:color="auto" w:fill="auto"/>
        </w:tblPrEx>
        <w:tc>
          <w:tcPr>
            <w:tcW w:w="1068" w:type="dxa"/>
          </w:tcPr>
          <w:p w14:paraId="6F8A3772" w14:textId="77777777" w:rsidR="004E4ABD" w:rsidRPr="00196D62" w:rsidRDefault="004E4ABD" w:rsidP="0097173B">
            <w:pPr>
              <w:rPr>
                <w:rFonts w:ascii="Verdana" w:hAnsi="Verdana"/>
              </w:rPr>
            </w:pPr>
            <w:r>
              <w:rPr>
                <w:rFonts w:ascii="Verdana" w:hAnsi="Verdana"/>
              </w:rPr>
              <w:t>1 dag</w:t>
            </w:r>
          </w:p>
        </w:tc>
        <w:tc>
          <w:tcPr>
            <w:tcW w:w="7432" w:type="dxa"/>
          </w:tcPr>
          <w:p w14:paraId="247E139E" w14:textId="77777777" w:rsidR="004E4ABD" w:rsidRPr="00196D62" w:rsidRDefault="004E4ABD" w:rsidP="0097173B">
            <w:pPr>
              <w:rPr>
                <w:rFonts w:ascii="Verdana" w:hAnsi="Verdana"/>
              </w:rPr>
            </w:pPr>
            <w:r>
              <w:rPr>
                <w:rFonts w:ascii="Verdana" w:hAnsi="Verdana"/>
              </w:rPr>
              <w:t>Antidiabetika + risikomedicin</w:t>
            </w:r>
          </w:p>
        </w:tc>
      </w:tr>
      <w:tr w:rsidR="004E4ABD" w14:paraId="7A44AAE7" w14:textId="77777777" w:rsidTr="004E4ABD">
        <w:tblPrEx>
          <w:shd w:val="clear" w:color="auto" w:fill="auto"/>
        </w:tblPrEx>
        <w:tc>
          <w:tcPr>
            <w:tcW w:w="1068" w:type="dxa"/>
          </w:tcPr>
          <w:p w14:paraId="45F9AA6D" w14:textId="77777777" w:rsidR="004E4ABD" w:rsidRDefault="004E4ABD" w:rsidP="0097173B">
            <w:pPr>
              <w:rPr>
                <w:rFonts w:ascii="Verdana" w:hAnsi="Verdana"/>
              </w:rPr>
            </w:pPr>
            <w:r>
              <w:rPr>
                <w:rFonts w:ascii="Verdana" w:hAnsi="Verdana"/>
              </w:rPr>
              <w:t>½ dag</w:t>
            </w:r>
          </w:p>
        </w:tc>
        <w:tc>
          <w:tcPr>
            <w:tcW w:w="7432" w:type="dxa"/>
          </w:tcPr>
          <w:p w14:paraId="160BF0B1" w14:textId="77777777" w:rsidR="004E4ABD" w:rsidRDefault="004E4ABD" w:rsidP="0097173B">
            <w:pPr>
              <w:rPr>
                <w:rFonts w:ascii="Verdana" w:eastAsia="Calibri" w:hAnsi="Verdana" w:cs="Times New Roman"/>
              </w:rPr>
            </w:pPr>
            <w:r>
              <w:rPr>
                <w:rFonts w:ascii="Verdana" w:eastAsia="Calibri" w:hAnsi="Verdana" w:cs="Times New Roman"/>
              </w:rPr>
              <w:t>Medicinregning</w:t>
            </w:r>
          </w:p>
          <w:p w14:paraId="631D68A7" w14:textId="77777777" w:rsidR="004E4ABD" w:rsidRDefault="004E4ABD" w:rsidP="0097173B">
            <w:pPr>
              <w:rPr>
                <w:rFonts w:ascii="Verdana" w:eastAsia="Calibri" w:hAnsi="Verdana" w:cs="Times New Roman"/>
              </w:rPr>
            </w:pPr>
            <w:r>
              <w:rPr>
                <w:rFonts w:ascii="Verdana" w:eastAsia="Calibri" w:hAnsi="Verdana" w:cs="Times New Roman"/>
              </w:rPr>
              <w:t>Intro til praktik opgave</w:t>
            </w:r>
          </w:p>
        </w:tc>
      </w:tr>
      <w:tr w:rsidR="00B00683" w14:paraId="2248A0F6" w14:textId="77777777" w:rsidTr="00B00683">
        <w:tblPrEx>
          <w:shd w:val="clear" w:color="auto" w:fill="auto"/>
        </w:tblPrEx>
        <w:tc>
          <w:tcPr>
            <w:tcW w:w="1068" w:type="dxa"/>
            <w:shd w:val="clear" w:color="auto" w:fill="70AD47" w:themeFill="accent6"/>
          </w:tcPr>
          <w:p w14:paraId="0F61188C" w14:textId="77777777" w:rsidR="00B00683" w:rsidRDefault="00B00683" w:rsidP="0097173B">
            <w:pPr>
              <w:rPr>
                <w:rFonts w:ascii="Verdana" w:hAnsi="Verdana"/>
              </w:rPr>
            </w:pPr>
          </w:p>
        </w:tc>
        <w:tc>
          <w:tcPr>
            <w:tcW w:w="7432" w:type="dxa"/>
            <w:shd w:val="clear" w:color="auto" w:fill="70AD47" w:themeFill="accent6"/>
          </w:tcPr>
          <w:p w14:paraId="1AF774CD" w14:textId="2A95B668" w:rsidR="00B00683" w:rsidRDefault="00B00683" w:rsidP="0097173B">
            <w:pPr>
              <w:rPr>
                <w:rFonts w:ascii="Verdana" w:eastAsia="Calibri" w:hAnsi="Verdana" w:cs="Times New Roman"/>
              </w:rPr>
            </w:pPr>
            <w:r>
              <w:rPr>
                <w:rFonts w:ascii="Verdana" w:eastAsia="Calibri" w:hAnsi="Verdana" w:cs="Times New Roman"/>
              </w:rPr>
              <w:t>SKOLEPERIODE 3</w:t>
            </w:r>
          </w:p>
        </w:tc>
      </w:tr>
      <w:tr w:rsidR="004E4ABD" w:rsidRPr="00196D62" w14:paraId="6F8CD905" w14:textId="77777777" w:rsidTr="004E4ABD">
        <w:tblPrEx>
          <w:shd w:val="clear" w:color="auto" w:fill="auto"/>
        </w:tblPrEx>
        <w:tc>
          <w:tcPr>
            <w:tcW w:w="1068" w:type="dxa"/>
          </w:tcPr>
          <w:p w14:paraId="0F1B7FE6" w14:textId="77777777" w:rsidR="004E4ABD" w:rsidRPr="00196D62" w:rsidRDefault="004E4ABD" w:rsidP="0097173B">
            <w:pPr>
              <w:rPr>
                <w:rFonts w:ascii="Verdana" w:hAnsi="Verdana"/>
              </w:rPr>
            </w:pPr>
            <w:r>
              <w:rPr>
                <w:rFonts w:ascii="Verdana" w:hAnsi="Verdana"/>
              </w:rPr>
              <w:t>1 dag</w:t>
            </w:r>
          </w:p>
        </w:tc>
        <w:tc>
          <w:tcPr>
            <w:tcW w:w="7432" w:type="dxa"/>
          </w:tcPr>
          <w:p w14:paraId="2D0640FF" w14:textId="77777777" w:rsidR="004E4ABD" w:rsidRDefault="004E4ABD" w:rsidP="0097173B">
            <w:pPr>
              <w:rPr>
                <w:rFonts w:ascii="Verdana" w:hAnsi="Verdana"/>
              </w:rPr>
            </w:pPr>
            <w:r>
              <w:rPr>
                <w:rFonts w:ascii="Verdana" w:hAnsi="Verdana"/>
              </w:rPr>
              <w:t>Intro til speciel farmakologi, herunder Pro Medicin</w:t>
            </w:r>
          </w:p>
          <w:p w14:paraId="63F83114" w14:textId="77777777" w:rsidR="004E4ABD" w:rsidRDefault="004E4ABD" w:rsidP="0097173B">
            <w:pPr>
              <w:rPr>
                <w:rFonts w:ascii="Verdana" w:hAnsi="Verdana"/>
              </w:rPr>
            </w:pPr>
          </w:p>
          <w:p w14:paraId="437FC02E" w14:textId="77777777" w:rsidR="004E4ABD" w:rsidRDefault="004E4ABD" w:rsidP="0097173B">
            <w:pPr>
              <w:rPr>
                <w:rFonts w:ascii="Verdana" w:hAnsi="Verdana"/>
              </w:rPr>
            </w:pPr>
            <w:r>
              <w:rPr>
                <w:rFonts w:ascii="Verdana" w:hAnsi="Verdana"/>
              </w:rPr>
              <w:t>Medicinsk behandling af borgere med hjertesygdomme</w:t>
            </w:r>
          </w:p>
          <w:p w14:paraId="16FC7E7A" w14:textId="77777777" w:rsidR="004E4ABD" w:rsidRPr="00196D62" w:rsidRDefault="004E4ABD" w:rsidP="0097173B">
            <w:pPr>
              <w:rPr>
                <w:rFonts w:ascii="Verdana" w:hAnsi="Verdana"/>
              </w:rPr>
            </w:pPr>
          </w:p>
        </w:tc>
      </w:tr>
      <w:tr w:rsidR="004E4ABD" w14:paraId="317FF39A" w14:textId="77777777" w:rsidTr="004E4ABD">
        <w:tblPrEx>
          <w:shd w:val="clear" w:color="auto" w:fill="auto"/>
        </w:tblPrEx>
        <w:tc>
          <w:tcPr>
            <w:tcW w:w="1068" w:type="dxa"/>
          </w:tcPr>
          <w:p w14:paraId="096E98B2" w14:textId="77777777" w:rsidR="004E4ABD" w:rsidRDefault="004E4ABD" w:rsidP="0097173B">
            <w:pPr>
              <w:rPr>
                <w:rFonts w:ascii="Verdana" w:hAnsi="Verdana"/>
              </w:rPr>
            </w:pPr>
            <w:r>
              <w:rPr>
                <w:rFonts w:ascii="Verdana" w:hAnsi="Verdana"/>
              </w:rPr>
              <w:t>1 dag</w:t>
            </w:r>
          </w:p>
        </w:tc>
        <w:tc>
          <w:tcPr>
            <w:tcW w:w="7432" w:type="dxa"/>
          </w:tcPr>
          <w:p w14:paraId="72E48C26" w14:textId="77777777" w:rsidR="004E4ABD" w:rsidRDefault="004E4ABD" w:rsidP="0097173B">
            <w:pPr>
              <w:rPr>
                <w:rFonts w:ascii="Verdana" w:hAnsi="Verdana"/>
              </w:rPr>
            </w:pPr>
            <w:r>
              <w:rPr>
                <w:rFonts w:ascii="Verdana" w:hAnsi="Verdana"/>
              </w:rPr>
              <w:t>Medicinsk behandling af borgere med lungesygdomme</w:t>
            </w:r>
          </w:p>
          <w:p w14:paraId="44E18371" w14:textId="77777777" w:rsidR="004E4ABD" w:rsidRDefault="004E4ABD" w:rsidP="0097173B">
            <w:pPr>
              <w:rPr>
                <w:rFonts w:ascii="Verdana" w:hAnsi="Verdana"/>
              </w:rPr>
            </w:pPr>
          </w:p>
          <w:p w14:paraId="1A7C66C9" w14:textId="77777777" w:rsidR="004E4ABD" w:rsidRDefault="004E4ABD" w:rsidP="0097173B">
            <w:pPr>
              <w:rPr>
                <w:rFonts w:ascii="Verdana" w:hAnsi="Verdana"/>
              </w:rPr>
            </w:pPr>
            <w:r>
              <w:rPr>
                <w:rFonts w:ascii="Verdana" w:hAnsi="Verdana"/>
              </w:rPr>
              <w:t>Intro til standpunkt + udlevere case</w:t>
            </w:r>
          </w:p>
        </w:tc>
      </w:tr>
      <w:tr w:rsidR="004E4ABD" w:rsidRPr="00196D62" w14:paraId="45A6D5CC" w14:textId="77777777" w:rsidTr="004E4ABD">
        <w:tblPrEx>
          <w:shd w:val="clear" w:color="auto" w:fill="auto"/>
        </w:tblPrEx>
        <w:tc>
          <w:tcPr>
            <w:tcW w:w="1068" w:type="dxa"/>
          </w:tcPr>
          <w:p w14:paraId="14B138D5" w14:textId="77777777" w:rsidR="004E4ABD" w:rsidRPr="00196D62" w:rsidRDefault="004E4ABD" w:rsidP="0097173B">
            <w:pPr>
              <w:rPr>
                <w:rFonts w:ascii="Verdana" w:hAnsi="Verdana"/>
              </w:rPr>
            </w:pPr>
            <w:r>
              <w:rPr>
                <w:rFonts w:ascii="Verdana" w:hAnsi="Verdana"/>
              </w:rPr>
              <w:t>2 dage</w:t>
            </w:r>
          </w:p>
        </w:tc>
        <w:tc>
          <w:tcPr>
            <w:tcW w:w="7432" w:type="dxa"/>
          </w:tcPr>
          <w:p w14:paraId="6DDE0DB5" w14:textId="77777777" w:rsidR="004E4ABD" w:rsidRDefault="004E4ABD" w:rsidP="0097173B">
            <w:pPr>
              <w:rPr>
                <w:rFonts w:ascii="Verdana" w:hAnsi="Verdana"/>
              </w:rPr>
            </w:pPr>
            <w:r>
              <w:rPr>
                <w:rFonts w:ascii="Verdana" w:hAnsi="Verdana"/>
              </w:rPr>
              <w:t>Standpunktsbedømmelse</w:t>
            </w:r>
          </w:p>
          <w:p w14:paraId="7AC0B9C8" w14:textId="77777777" w:rsidR="004E4ABD" w:rsidRDefault="004E4ABD" w:rsidP="0097173B">
            <w:pPr>
              <w:rPr>
                <w:rFonts w:ascii="Verdana" w:hAnsi="Verdana"/>
              </w:rPr>
            </w:pPr>
            <w:r>
              <w:rPr>
                <w:rFonts w:ascii="Verdana" w:hAnsi="Verdana"/>
              </w:rPr>
              <w:t>Repetition og test</w:t>
            </w:r>
          </w:p>
          <w:p w14:paraId="4EA4368D" w14:textId="77777777" w:rsidR="004E4ABD" w:rsidRDefault="004E4ABD" w:rsidP="0097173B">
            <w:pPr>
              <w:rPr>
                <w:rFonts w:ascii="Verdana" w:hAnsi="Verdana"/>
              </w:rPr>
            </w:pPr>
            <w:r>
              <w:rPr>
                <w:rFonts w:ascii="Verdana" w:hAnsi="Verdana"/>
              </w:rPr>
              <w:t>Dag 1. Gruppearbejde</w:t>
            </w:r>
          </w:p>
          <w:p w14:paraId="0CCD93AC" w14:textId="77777777" w:rsidR="004E4ABD" w:rsidRPr="00196D62" w:rsidRDefault="004E4ABD" w:rsidP="0097173B">
            <w:pPr>
              <w:rPr>
                <w:rFonts w:ascii="Verdana" w:hAnsi="Verdana"/>
              </w:rPr>
            </w:pPr>
            <w:r>
              <w:rPr>
                <w:rFonts w:ascii="Verdana" w:hAnsi="Verdana"/>
              </w:rPr>
              <w:t>Dag 2. Fremlæggelser</w:t>
            </w:r>
          </w:p>
        </w:tc>
      </w:tr>
      <w:tr w:rsidR="004E4ABD" w14:paraId="7037978D" w14:textId="77777777" w:rsidTr="004E4ABD">
        <w:tblPrEx>
          <w:shd w:val="clear" w:color="auto" w:fill="auto"/>
        </w:tblPrEx>
        <w:tc>
          <w:tcPr>
            <w:tcW w:w="1068" w:type="dxa"/>
          </w:tcPr>
          <w:p w14:paraId="2C64C24F" w14:textId="77777777" w:rsidR="004E4ABD" w:rsidRDefault="004E4ABD" w:rsidP="0097173B">
            <w:pPr>
              <w:rPr>
                <w:rFonts w:ascii="Verdana" w:hAnsi="Verdana"/>
              </w:rPr>
            </w:pPr>
            <w:r>
              <w:rPr>
                <w:rFonts w:ascii="Verdana" w:hAnsi="Verdana"/>
              </w:rPr>
              <w:t>3 dage</w:t>
            </w:r>
          </w:p>
          <w:p w14:paraId="307F2A51" w14:textId="77777777" w:rsidR="004E4ABD" w:rsidRDefault="004E4ABD" w:rsidP="0097173B">
            <w:pPr>
              <w:rPr>
                <w:rFonts w:ascii="Verdana" w:hAnsi="Verdana"/>
              </w:rPr>
            </w:pPr>
          </w:p>
        </w:tc>
        <w:tc>
          <w:tcPr>
            <w:tcW w:w="7432" w:type="dxa"/>
          </w:tcPr>
          <w:p w14:paraId="19872232" w14:textId="77777777" w:rsidR="004E4ABD" w:rsidRDefault="004E4ABD" w:rsidP="0097173B">
            <w:pPr>
              <w:rPr>
                <w:rFonts w:ascii="Verdana" w:hAnsi="Verdana"/>
              </w:rPr>
            </w:pPr>
            <w:r>
              <w:rPr>
                <w:rFonts w:ascii="Verdana" w:hAnsi="Verdana"/>
              </w:rPr>
              <w:t>Eksamen</w:t>
            </w:r>
          </w:p>
        </w:tc>
      </w:tr>
    </w:tbl>
    <w:p w14:paraId="4161EEAF" w14:textId="77777777" w:rsidR="008A293C" w:rsidRPr="00196D62" w:rsidRDefault="008A293C" w:rsidP="00030160">
      <w:pPr>
        <w:rPr>
          <w:rFonts w:ascii="Verdana" w:hAnsi="Verdana"/>
        </w:rPr>
      </w:pPr>
    </w:p>
    <w:p w14:paraId="3B4FE395" w14:textId="77777777" w:rsidR="00030160" w:rsidRPr="00196D62" w:rsidRDefault="00030160" w:rsidP="00030160">
      <w:pPr>
        <w:rPr>
          <w:rFonts w:ascii="Verdana" w:hAnsi="Verdana"/>
        </w:rPr>
      </w:pPr>
      <w:r w:rsidRPr="00196D62">
        <w:rPr>
          <w:rFonts w:ascii="Verdana" w:hAnsi="Verdana"/>
          <w:noProof/>
          <w:lang w:eastAsia="da-DK"/>
        </w:rPr>
        <w:lastRenderedPageBreak/>
        <mc:AlternateContent>
          <mc:Choice Requires="wps">
            <w:drawing>
              <wp:anchor distT="45720" distB="45720" distL="114300" distR="114300" simplePos="0" relativeHeight="251653120" behindDoc="0" locked="0" layoutInCell="1" allowOverlap="1" wp14:anchorId="36E3208E" wp14:editId="4264B12A">
                <wp:simplePos x="0" y="0"/>
                <wp:positionH relativeFrom="margin">
                  <wp:align>right</wp:align>
                </wp:positionH>
                <wp:positionV relativeFrom="paragraph">
                  <wp:posOffset>0</wp:posOffset>
                </wp:positionV>
                <wp:extent cx="8515350" cy="5324475"/>
                <wp:effectExtent l="0" t="0" r="19050" b="285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0" cy="5324475"/>
                        </a:xfrm>
                        <a:prstGeom prst="rect">
                          <a:avLst/>
                        </a:prstGeom>
                        <a:solidFill>
                          <a:srgbClr val="FFFFFF"/>
                        </a:solidFill>
                        <a:ln w="9525">
                          <a:solidFill>
                            <a:schemeClr val="accent6"/>
                          </a:solidFill>
                          <a:miter lim="800000"/>
                          <a:headEnd/>
                          <a:tailEnd/>
                        </a:ln>
                      </wps:spPr>
                      <wps:txbx>
                        <w:txbxContent>
                          <w:p w14:paraId="05A0E1B8" w14:textId="77777777" w:rsidR="00030160" w:rsidRPr="004F0C49" w:rsidRDefault="00030160" w:rsidP="00030160">
                            <w:pPr>
                              <w:rPr>
                                <w:b/>
                                <w:color w:val="000000" w:themeColor="text1"/>
                                <w:kern w:val="24"/>
                              </w:rPr>
                            </w:pPr>
                            <w:r w:rsidRPr="004F0C49">
                              <w:rPr>
                                <w:b/>
                                <w:color w:val="000000" w:themeColor="text1"/>
                                <w:kern w:val="24"/>
                              </w:rPr>
                              <w:t>Mål for faget farmakologi og medicinhåndtering:</w:t>
                            </w:r>
                          </w:p>
                          <w:p w14:paraId="07FFFD07" w14:textId="77777777" w:rsidR="00030160" w:rsidRPr="004F0C49" w:rsidRDefault="00030160" w:rsidP="00030160">
                            <w:pPr>
                              <w:rPr>
                                <w:color w:val="000000" w:themeColor="text1"/>
                                <w:kern w:val="24"/>
                              </w:rPr>
                            </w:pPr>
                          </w:p>
                          <w:p w14:paraId="029ABD54" w14:textId="77777777" w:rsidR="00030160" w:rsidRPr="004F0C49" w:rsidRDefault="00030160" w:rsidP="00030160">
                            <w:pPr>
                              <w:pStyle w:val="Default"/>
                              <w:rPr>
                                <w:rFonts w:ascii="Candara" w:hAnsi="Candara"/>
                                <w:sz w:val="22"/>
                                <w:szCs w:val="22"/>
                              </w:rPr>
                            </w:pPr>
                            <w:r w:rsidRPr="004F0C49">
                              <w:rPr>
                                <w:rFonts w:ascii="Candara" w:hAnsi="Candara"/>
                                <w:i/>
                                <w:iCs/>
                                <w:sz w:val="22"/>
                                <w:szCs w:val="22"/>
                              </w:rPr>
                              <w:t xml:space="preserve">Bedømmelse: Standpunktsbedømmelse efter 7-trinsskalaen </w:t>
                            </w:r>
                          </w:p>
                          <w:p w14:paraId="055DF372" w14:textId="77777777" w:rsidR="00030160" w:rsidRPr="004F0C49" w:rsidRDefault="00030160" w:rsidP="00030160">
                            <w:pPr>
                              <w:pStyle w:val="Default"/>
                              <w:rPr>
                                <w:rFonts w:ascii="Candara" w:hAnsi="Candara"/>
                                <w:sz w:val="22"/>
                                <w:szCs w:val="22"/>
                              </w:rPr>
                            </w:pPr>
                            <w:r w:rsidRPr="004F0C49">
                              <w:rPr>
                                <w:rFonts w:ascii="Candara" w:hAnsi="Candara"/>
                                <w:i/>
                                <w:iCs/>
                                <w:sz w:val="22"/>
                                <w:szCs w:val="22"/>
                              </w:rPr>
                              <w:t xml:space="preserve">Præstationsstandard: Avanceret </w:t>
                            </w:r>
                          </w:p>
                          <w:p w14:paraId="00510B2D" w14:textId="77777777" w:rsidR="00030160" w:rsidRPr="004F0C49" w:rsidRDefault="00030160" w:rsidP="00030160">
                            <w:pPr>
                              <w:pStyle w:val="Default"/>
                              <w:rPr>
                                <w:rFonts w:ascii="Candara" w:hAnsi="Candara"/>
                                <w:i/>
                                <w:iCs/>
                                <w:sz w:val="22"/>
                                <w:szCs w:val="22"/>
                              </w:rPr>
                            </w:pPr>
                            <w:r w:rsidRPr="004F0C49">
                              <w:rPr>
                                <w:rFonts w:ascii="Candara" w:hAnsi="Candara"/>
                                <w:i/>
                                <w:iCs/>
                                <w:sz w:val="22"/>
                                <w:szCs w:val="22"/>
                              </w:rPr>
                              <w:t xml:space="preserve">Varighed: </w:t>
                            </w:r>
                            <w:r w:rsidR="00216719">
                              <w:rPr>
                                <w:rFonts w:ascii="Candara" w:hAnsi="Candara"/>
                                <w:i/>
                                <w:iCs/>
                                <w:sz w:val="22"/>
                                <w:szCs w:val="22"/>
                              </w:rPr>
                              <w:t>3</w:t>
                            </w:r>
                            <w:r w:rsidRPr="004F0C49">
                              <w:rPr>
                                <w:rFonts w:ascii="Candara" w:hAnsi="Candara"/>
                                <w:i/>
                                <w:iCs/>
                                <w:sz w:val="22"/>
                                <w:szCs w:val="22"/>
                              </w:rPr>
                              <w:t xml:space="preserve"> uger </w:t>
                            </w:r>
                          </w:p>
                          <w:p w14:paraId="40266EA4" w14:textId="77777777" w:rsidR="00030160" w:rsidRPr="004F0C49" w:rsidRDefault="00030160" w:rsidP="00030160">
                            <w:pPr>
                              <w:pStyle w:val="Default"/>
                              <w:rPr>
                                <w:rFonts w:ascii="Candara" w:hAnsi="Candara"/>
                                <w:sz w:val="22"/>
                                <w:szCs w:val="22"/>
                              </w:rPr>
                            </w:pPr>
                          </w:p>
                          <w:p w14:paraId="1D6F6818" w14:textId="77777777" w:rsidR="00030160" w:rsidRDefault="00030160" w:rsidP="00030160">
                            <w:pPr>
                              <w:pStyle w:val="Default"/>
                              <w:numPr>
                                <w:ilvl w:val="0"/>
                                <w:numId w:val="1"/>
                              </w:numPr>
                              <w:rPr>
                                <w:rFonts w:ascii="Candara" w:hAnsi="Candara"/>
                                <w:sz w:val="22"/>
                                <w:szCs w:val="22"/>
                              </w:rPr>
                            </w:pPr>
                            <w:r w:rsidRPr="004F0C49">
                              <w:rPr>
                                <w:rFonts w:ascii="Candara" w:hAnsi="Candara"/>
                                <w:sz w:val="22"/>
                                <w:szCs w:val="22"/>
                              </w:rPr>
                              <w:t>Eleven kan anvende viden om lovgivning, instrukser, vejledninger og lokale procedurer til at forklare social- og sundhedsassistentens ansvar og kompetenceområde til selvstændigt at kunne varetage medicinhåndtering i gældende praksis, herunder delegering, videredelegering, ledelsens ansvar og akkreditering.</w:t>
                            </w:r>
                          </w:p>
                          <w:p w14:paraId="55F92BDF" w14:textId="77777777" w:rsidR="00030160" w:rsidRDefault="00030160" w:rsidP="00030160">
                            <w:pPr>
                              <w:pStyle w:val="Default"/>
                              <w:ind w:left="720"/>
                              <w:rPr>
                                <w:rFonts w:ascii="Candara" w:hAnsi="Candara"/>
                                <w:sz w:val="22"/>
                                <w:szCs w:val="22"/>
                              </w:rPr>
                            </w:pPr>
                          </w:p>
                          <w:p w14:paraId="5314EAF8" w14:textId="77777777" w:rsidR="00030160" w:rsidRDefault="00030160" w:rsidP="00030160">
                            <w:pPr>
                              <w:pStyle w:val="Default"/>
                              <w:numPr>
                                <w:ilvl w:val="0"/>
                                <w:numId w:val="1"/>
                              </w:numPr>
                              <w:rPr>
                                <w:rFonts w:ascii="Candara" w:hAnsi="Candara"/>
                                <w:sz w:val="22"/>
                                <w:szCs w:val="22"/>
                              </w:rPr>
                            </w:pPr>
                            <w:r w:rsidRPr="004F0C49">
                              <w:rPr>
                                <w:rFonts w:ascii="Candara" w:hAnsi="Candara"/>
                                <w:sz w:val="22"/>
                                <w:szCs w:val="22"/>
                              </w:rPr>
                              <w:t xml:space="preserve">Eleven kan anvende viden om kvalitetssikring og utilsigtede hændelser (UTH) til selvstændigt og i det tværfaglige samarbejde at kunne fremme patientsikkerheden og forebygge fejl ved medicinhåndtering i praksis, herunder dokumentere, indrapportere samt følge op på embedslægetilsyn. </w:t>
                            </w:r>
                          </w:p>
                          <w:p w14:paraId="64870794" w14:textId="77777777" w:rsidR="00030160" w:rsidRDefault="00030160" w:rsidP="00030160">
                            <w:pPr>
                              <w:pStyle w:val="Listeafsnit"/>
                              <w:rPr>
                                <w:rFonts w:ascii="Candara" w:hAnsi="Candara"/>
                              </w:rPr>
                            </w:pPr>
                          </w:p>
                          <w:p w14:paraId="2B3AB0A7" w14:textId="77777777" w:rsidR="00030160" w:rsidRDefault="00030160" w:rsidP="00030160">
                            <w:pPr>
                              <w:pStyle w:val="Default"/>
                              <w:numPr>
                                <w:ilvl w:val="0"/>
                                <w:numId w:val="1"/>
                              </w:numPr>
                              <w:rPr>
                                <w:rFonts w:ascii="Candara" w:hAnsi="Candara"/>
                                <w:sz w:val="22"/>
                                <w:szCs w:val="22"/>
                              </w:rPr>
                            </w:pPr>
                            <w:r w:rsidRPr="004F0C49">
                              <w:rPr>
                                <w:rFonts w:ascii="Candara" w:hAnsi="Candara"/>
                                <w:sz w:val="22"/>
                                <w:szCs w:val="22"/>
                              </w:rPr>
                              <w:t xml:space="preserve">Eleven kan anvende viden om anatomi og fysiologi til at forklare lægemidlers farmakokinetik, herunder absorption, distribution og elimination og farmakodynamik. </w:t>
                            </w:r>
                          </w:p>
                          <w:p w14:paraId="0597C220" w14:textId="77777777" w:rsidR="00030160" w:rsidRDefault="00030160" w:rsidP="00030160">
                            <w:pPr>
                              <w:pStyle w:val="Listeafsnit"/>
                              <w:rPr>
                                <w:rFonts w:ascii="Candara" w:hAnsi="Candara"/>
                              </w:rPr>
                            </w:pPr>
                          </w:p>
                          <w:p w14:paraId="29FEF5BB" w14:textId="77777777" w:rsidR="00030160" w:rsidRDefault="00030160" w:rsidP="00030160">
                            <w:pPr>
                              <w:pStyle w:val="Default"/>
                              <w:numPr>
                                <w:ilvl w:val="0"/>
                                <w:numId w:val="1"/>
                              </w:numPr>
                              <w:rPr>
                                <w:rFonts w:ascii="Candara" w:hAnsi="Candara"/>
                                <w:sz w:val="22"/>
                                <w:szCs w:val="22"/>
                              </w:rPr>
                            </w:pPr>
                            <w:r w:rsidRPr="004F0C49">
                              <w:rPr>
                                <w:rFonts w:ascii="Candara" w:hAnsi="Candara"/>
                                <w:sz w:val="22"/>
                                <w:szCs w:val="22"/>
                              </w:rPr>
                              <w:t xml:space="preserve">Eleven kan anvende beregninger af medicin for at fremme patientsikkerheden og forebygge fejl ved medicinhåndtering. </w:t>
                            </w:r>
                          </w:p>
                          <w:p w14:paraId="3525D1F0" w14:textId="77777777" w:rsidR="00030160" w:rsidRDefault="00030160" w:rsidP="00030160">
                            <w:pPr>
                              <w:pStyle w:val="Listeafsnit"/>
                              <w:rPr>
                                <w:rFonts w:ascii="Candara" w:hAnsi="Candara"/>
                              </w:rPr>
                            </w:pPr>
                          </w:p>
                          <w:p w14:paraId="06F3B736" w14:textId="77777777" w:rsidR="00030160" w:rsidRPr="00030160" w:rsidRDefault="00030160" w:rsidP="006C6BCE">
                            <w:pPr>
                              <w:pStyle w:val="Default"/>
                              <w:numPr>
                                <w:ilvl w:val="0"/>
                                <w:numId w:val="1"/>
                              </w:numPr>
                              <w:rPr>
                                <w:rFonts w:ascii="Candara" w:hAnsi="Candara"/>
                                <w:sz w:val="22"/>
                                <w:szCs w:val="22"/>
                              </w:rPr>
                            </w:pPr>
                            <w:r w:rsidRPr="00030160">
                              <w:rPr>
                                <w:rFonts w:ascii="Candara" w:hAnsi="Candara"/>
                                <w:sz w:val="22"/>
                                <w:szCs w:val="22"/>
                              </w:rPr>
                              <w:t xml:space="preserve">Eleven kan anvende viden om almen og speciel farmakologi, herunder psykofarmaka til at observere virkninger og bivirkninger samt forklare kontraindikationer, interaktioner og dispenseringsformer inden for de mest almindelige hovedgrupper, herunder hvilken betydning det har for observationen af borgere og patienter. </w:t>
                            </w:r>
                          </w:p>
                          <w:p w14:paraId="4EC84FFC" w14:textId="77777777" w:rsidR="00030160" w:rsidRDefault="00030160" w:rsidP="00030160">
                            <w:pPr>
                              <w:pStyle w:val="Default"/>
                              <w:rPr>
                                <w:rFonts w:ascii="Candara" w:hAnsi="Candara"/>
                                <w:sz w:val="22"/>
                                <w:szCs w:val="22"/>
                              </w:rPr>
                            </w:pPr>
                            <w:r>
                              <w:rPr>
                                <w:rFonts w:ascii="Candara" w:hAnsi="Candara"/>
                                <w:sz w:val="22"/>
                                <w:szCs w:val="22"/>
                              </w:rPr>
                              <w:t xml:space="preserve">         </w:t>
                            </w:r>
                          </w:p>
                          <w:p w14:paraId="75B14751" w14:textId="77777777" w:rsidR="00030160" w:rsidRPr="00030160" w:rsidRDefault="00030160" w:rsidP="00F243C2">
                            <w:pPr>
                              <w:pStyle w:val="Default"/>
                              <w:numPr>
                                <w:ilvl w:val="0"/>
                                <w:numId w:val="1"/>
                              </w:numPr>
                              <w:rPr>
                                <w:rFonts w:ascii="Candara" w:hAnsi="Candara"/>
                                <w:sz w:val="22"/>
                                <w:szCs w:val="22"/>
                              </w:rPr>
                            </w:pPr>
                            <w:r w:rsidRPr="00030160">
                              <w:rPr>
                                <w:rFonts w:ascii="Candara" w:hAnsi="Candara"/>
                                <w:sz w:val="22"/>
                                <w:szCs w:val="22"/>
                              </w:rPr>
                              <w:t xml:space="preserve">Eleven kan anvende viden om sundhedspædagogiske metoder, redskaber og praksisformer, herunder vejledning, motivation, compliance og selvadministration i samarbejdet med borgere, patienter og pårørende i primær og sekundær sektor, herunder samarbejde med almen praksis til at øge kvaliteten og patientsikkerheden ved medicinhåndtering. </w:t>
                            </w:r>
                          </w:p>
                          <w:p w14:paraId="2D09E749" w14:textId="77777777" w:rsidR="00030160" w:rsidRDefault="00030160" w:rsidP="00030160">
                            <w:pPr>
                              <w:pStyle w:val="Default"/>
                              <w:rPr>
                                <w:rFonts w:ascii="Candara" w:hAnsi="Candara"/>
                                <w:sz w:val="22"/>
                                <w:szCs w:val="22"/>
                              </w:rPr>
                            </w:pPr>
                          </w:p>
                          <w:p w14:paraId="6FFAB4E8" w14:textId="77777777" w:rsidR="00030160" w:rsidRPr="00030160" w:rsidRDefault="00030160" w:rsidP="00705716">
                            <w:pPr>
                              <w:pStyle w:val="Default"/>
                              <w:numPr>
                                <w:ilvl w:val="0"/>
                                <w:numId w:val="1"/>
                              </w:numPr>
                              <w:rPr>
                                <w:rFonts w:ascii="Candara" w:hAnsi="Candara"/>
                                <w:color w:val="000000" w:themeColor="text1"/>
                                <w:kern w:val="24"/>
                              </w:rPr>
                            </w:pPr>
                            <w:r w:rsidRPr="00030160">
                              <w:rPr>
                                <w:rFonts w:ascii="Candara" w:hAnsi="Candara"/>
                                <w:sz w:val="22"/>
                                <w:szCs w:val="22"/>
                              </w:rPr>
                              <w:t xml:space="preserve">Eleven kan anvende viden om hygiejne og risikofaktorer ved medicinhåndtering herunder Arbejdsmiljøudvalgets opgave og arbejdsmiljøcertificering til at forebygge arbejdsskader i praksis.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3208E" id="Tekstfelt 2" o:spid="_x0000_s1027" type="#_x0000_t202" style="position:absolute;margin-left:619.3pt;margin-top:0;width:670.5pt;height:419.2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" strokecolor="#70ad47 [3209]">
                <v:textbox>
                  <w:txbxContent>
                    <w:p w14:paraId="05A0E1B8" w14:textId="77777777" w:rsidR="00030160" w:rsidRPr="004F0C49" w:rsidRDefault="00030160" w:rsidP="00030160">
                      <w:pPr>
                        <w:rPr>
                          <w:b/>
                          <w:color w:val="000000" w:themeColor="text1"/>
                          <w:kern w:val="24"/>
                        </w:rPr>
                      </w:pPr>
                      <w:r w:rsidRPr="004F0C49">
                        <w:rPr>
                          <w:b/>
                          <w:color w:val="000000" w:themeColor="text1"/>
                          <w:kern w:val="24"/>
                        </w:rPr>
                        <w:t>Mål for faget farmakologi og medicinhåndtering:</w:t>
                      </w:r>
                    </w:p>
                    <w:p w14:paraId="07FFFD07" w14:textId="77777777" w:rsidR="00030160" w:rsidRPr="004F0C49" w:rsidRDefault="00030160" w:rsidP="00030160">
                      <w:pPr>
                        <w:rPr>
                          <w:color w:val="000000" w:themeColor="text1"/>
                          <w:kern w:val="24"/>
                        </w:rPr>
                      </w:pPr>
                    </w:p>
                    <w:p w14:paraId="029ABD54" w14:textId="77777777" w:rsidR="00030160" w:rsidRPr="004F0C49" w:rsidRDefault="00030160" w:rsidP="00030160">
                      <w:pPr>
                        <w:pStyle w:val="Default"/>
                        <w:rPr>
                          <w:rFonts w:ascii="Candara" w:hAnsi="Candara"/>
                          <w:sz w:val="22"/>
                          <w:szCs w:val="22"/>
                        </w:rPr>
                      </w:pPr>
                      <w:r w:rsidRPr="004F0C49">
                        <w:rPr>
                          <w:rFonts w:ascii="Candara" w:hAnsi="Candara"/>
                          <w:i/>
                          <w:iCs/>
                          <w:sz w:val="22"/>
                          <w:szCs w:val="22"/>
                        </w:rPr>
                        <w:t xml:space="preserve">Bedømmelse: Standpunktsbedømmelse efter 7-trinsskalaen </w:t>
                      </w:r>
                    </w:p>
                    <w:p w14:paraId="055DF372" w14:textId="77777777" w:rsidR="00030160" w:rsidRPr="004F0C49" w:rsidRDefault="00030160" w:rsidP="00030160">
                      <w:pPr>
                        <w:pStyle w:val="Default"/>
                        <w:rPr>
                          <w:rFonts w:ascii="Candara" w:hAnsi="Candara"/>
                          <w:sz w:val="22"/>
                          <w:szCs w:val="22"/>
                        </w:rPr>
                      </w:pPr>
                      <w:r w:rsidRPr="004F0C49">
                        <w:rPr>
                          <w:rFonts w:ascii="Candara" w:hAnsi="Candara"/>
                          <w:i/>
                          <w:iCs/>
                          <w:sz w:val="22"/>
                          <w:szCs w:val="22"/>
                        </w:rPr>
                        <w:t xml:space="preserve">Præstationsstandard: Avanceret </w:t>
                      </w:r>
                    </w:p>
                    <w:p w14:paraId="00510B2D" w14:textId="77777777" w:rsidR="00030160" w:rsidRPr="004F0C49" w:rsidRDefault="00030160" w:rsidP="00030160">
                      <w:pPr>
                        <w:pStyle w:val="Default"/>
                        <w:rPr>
                          <w:rFonts w:ascii="Candara" w:hAnsi="Candara"/>
                          <w:i/>
                          <w:iCs/>
                          <w:sz w:val="22"/>
                          <w:szCs w:val="22"/>
                        </w:rPr>
                      </w:pPr>
                      <w:r w:rsidRPr="004F0C49">
                        <w:rPr>
                          <w:rFonts w:ascii="Candara" w:hAnsi="Candara"/>
                          <w:i/>
                          <w:iCs/>
                          <w:sz w:val="22"/>
                          <w:szCs w:val="22"/>
                        </w:rPr>
                        <w:t xml:space="preserve">Varighed: </w:t>
                      </w:r>
                      <w:r w:rsidR="00216719">
                        <w:rPr>
                          <w:rFonts w:ascii="Candara" w:hAnsi="Candara"/>
                          <w:i/>
                          <w:iCs/>
                          <w:sz w:val="22"/>
                          <w:szCs w:val="22"/>
                        </w:rPr>
                        <w:t>3</w:t>
                      </w:r>
                      <w:r w:rsidRPr="004F0C49">
                        <w:rPr>
                          <w:rFonts w:ascii="Candara" w:hAnsi="Candara"/>
                          <w:i/>
                          <w:iCs/>
                          <w:sz w:val="22"/>
                          <w:szCs w:val="22"/>
                        </w:rPr>
                        <w:t xml:space="preserve"> uger </w:t>
                      </w:r>
                    </w:p>
                    <w:p w14:paraId="40266EA4" w14:textId="77777777" w:rsidR="00030160" w:rsidRPr="004F0C49" w:rsidRDefault="00030160" w:rsidP="00030160">
                      <w:pPr>
                        <w:pStyle w:val="Default"/>
                        <w:rPr>
                          <w:rFonts w:ascii="Candara" w:hAnsi="Candara"/>
                          <w:sz w:val="22"/>
                          <w:szCs w:val="22"/>
                        </w:rPr>
                      </w:pPr>
                    </w:p>
                    <w:p w14:paraId="1D6F6818" w14:textId="77777777" w:rsidR="00030160" w:rsidRDefault="00030160" w:rsidP="00030160">
                      <w:pPr>
                        <w:pStyle w:val="Default"/>
                        <w:numPr>
                          <w:ilvl w:val="0"/>
                          <w:numId w:val="1"/>
                        </w:numPr>
                        <w:rPr>
                          <w:rFonts w:ascii="Candara" w:hAnsi="Candara"/>
                          <w:sz w:val="22"/>
                          <w:szCs w:val="22"/>
                        </w:rPr>
                      </w:pPr>
                      <w:r w:rsidRPr="004F0C49">
                        <w:rPr>
                          <w:rFonts w:ascii="Candara" w:hAnsi="Candara"/>
                          <w:sz w:val="22"/>
                          <w:szCs w:val="22"/>
                        </w:rPr>
                        <w:t>Eleven kan anvende viden om lovgivning, instrukser, vejledninger og lokale procedurer til at forklare social- og sundhedsassistentens ansvar og kompetenceområde til selvstændigt at kunne varetage medicinhåndtering i gældende praksis, herunder delegering, videredelegering, ledelsens ansvar og akkreditering.</w:t>
                      </w:r>
                    </w:p>
                    <w:p w14:paraId="55F92BDF" w14:textId="77777777" w:rsidR="00030160" w:rsidRDefault="00030160" w:rsidP="00030160">
                      <w:pPr>
                        <w:pStyle w:val="Default"/>
                        <w:ind w:left="720"/>
                        <w:rPr>
                          <w:rFonts w:ascii="Candara" w:hAnsi="Candara"/>
                          <w:sz w:val="22"/>
                          <w:szCs w:val="22"/>
                        </w:rPr>
                      </w:pPr>
                    </w:p>
                    <w:p w14:paraId="5314EAF8" w14:textId="77777777" w:rsidR="00030160" w:rsidRDefault="00030160" w:rsidP="00030160">
                      <w:pPr>
                        <w:pStyle w:val="Default"/>
                        <w:numPr>
                          <w:ilvl w:val="0"/>
                          <w:numId w:val="1"/>
                        </w:numPr>
                        <w:rPr>
                          <w:rFonts w:ascii="Candara" w:hAnsi="Candara"/>
                          <w:sz w:val="22"/>
                          <w:szCs w:val="22"/>
                        </w:rPr>
                      </w:pPr>
                      <w:r w:rsidRPr="004F0C49">
                        <w:rPr>
                          <w:rFonts w:ascii="Candara" w:hAnsi="Candara"/>
                          <w:sz w:val="22"/>
                          <w:szCs w:val="22"/>
                        </w:rPr>
                        <w:t xml:space="preserve">Eleven kan anvende viden om kvalitetssikring og utilsigtede hændelser (UTH) til selvstændigt og i det tværfaglige samarbejde at kunne fremme patientsikkerheden og forebygge fejl ved medicinhåndtering i praksis, herunder dokumentere, indrapportere samt følge op på embedslægetilsyn. </w:t>
                      </w:r>
                    </w:p>
                    <w:p w14:paraId="64870794" w14:textId="77777777" w:rsidR="00030160" w:rsidRDefault="00030160" w:rsidP="00030160">
                      <w:pPr>
                        <w:pStyle w:val="Listeafsnit"/>
                        <w:rPr>
                          <w:rFonts w:ascii="Candara" w:hAnsi="Candara"/>
                        </w:rPr>
                      </w:pPr>
                    </w:p>
                    <w:p w14:paraId="2B3AB0A7" w14:textId="77777777" w:rsidR="00030160" w:rsidRDefault="00030160" w:rsidP="00030160">
                      <w:pPr>
                        <w:pStyle w:val="Default"/>
                        <w:numPr>
                          <w:ilvl w:val="0"/>
                          <w:numId w:val="1"/>
                        </w:numPr>
                        <w:rPr>
                          <w:rFonts w:ascii="Candara" w:hAnsi="Candara"/>
                          <w:sz w:val="22"/>
                          <w:szCs w:val="22"/>
                        </w:rPr>
                      </w:pPr>
                      <w:r w:rsidRPr="004F0C49">
                        <w:rPr>
                          <w:rFonts w:ascii="Candara" w:hAnsi="Candara"/>
                          <w:sz w:val="22"/>
                          <w:szCs w:val="22"/>
                        </w:rPr>
                        <w:t xml:space="preserve">Eleven kan anvende viden om anatomi og fysiologi til at forklare lægemidlers farmakokinetik, herunder absorption, distribution og elimination og farmakodynamik. </w:t>
                      </w:r>
                    </w:p>
                    <w:p w14:paraId="0597C220" w14:textId="77777777" w:rsidR="00030160" w:rsidRDefault="00030160" w:rsidP="00030160">
                      <w:pPr>
                        <w:pStyle w:val="Listeafsnit"/>
                        <w:rPr>
                          <w:rFonts w:ascii="Candara" w:hAnsi="Candara"/>
                        </w:rPr>
                      </w:pPr>
                    </w:p>
                    <w:p w14:paraId="29FEF5BB" w14:textId="77777777" w:rsidR="00030160" w:rsidRDefault="00030160" w:rsidP="00030160">
                      <w:pPr>
                        <w:pStyle w:val="Default"/>
                        <w:numPr>
                          <w:ilvl w:val="0"/>
                          <w:numId w:val="1"/>
                        </w:numPr>
                        <w:rPr>
                          <w:rFonts w:ascii="Candara" w:hAnsi="Candara"/>
                          <w:sz w:val="22"/>
                          <w:szCs w:val="22"/>
                        </w:rPr>
                      </w:pPr>
                      <w:r w:rsidRPr="004F0C49">
                        <w:rPr>
                          <w:rFonts w:ascii="Candara" w:hAnsi="Candara"/>
                          <w:sz w:val="22"/>
                          <w:szCs w:val="22"/>
                        </w:rPr>
                        <w:t xml:space="preserve">Eleven kan anvende beregninger af medicin for at fremme patientsikkerheden og forebygge fejl ved medicinhåndtering. </w:t>
                      </w:r>
                    </w:p>
                    <w:p w14:paraId="3525D1F0" w14:textId="77777777" w:rsidR="00030160" w:rsidRDefault="00030160" w:rsidP="00030160">
                      <w:pPr>
                        <w:pStyle w:val="Listeafsnit"/>
                        <w:rPr>
                          <w:rFonts w:ascii="Candara" w:hAnsi="Candara"/>
                        </w:rPr>
                      </w:pPr>
                    </w:p>
                    <w:p w14:paraId="06F3B736" w14:textId="77777777" w:rsidR="00030160" w:rsidRPr="00030160" w:rsidRDefault="00030160" w:rsidP="006C6BCE">
                      <w:pPr>
                        <w:pStyle w:val="Default"/>
                        <w:numPr>
                          <w:ilvl w:val="0"/>
                          <w:numId w:val="1"/>
                        </w:numPr>
                        <w:rPr>
                          <w:rFonts w:ascii="Candara" w:hAnsi="Candara"/>
                          <w:sz w:val="22"/>
                          <w:szCs w:val="22"/>
                        </w:rPr>
                      </w:pPr>
                      <w:r w:rsidRPr="00030160">
                        <w:rPr>
                          <w:rFonts w:ascii="Candara" w:hAnsi="Candara"/>
                          <w:sz w:val="22"/>
                          <w:szCs w:val="22"/>
                        </w:rPr>
                        <w:t xml:space="preserve">Eleven kan anvende viden om almen og speciel farmakologi, herunder psykofarmaka til at observere virkninger og bivirkninger samt forklare kontraindikationer, interaktioner og dispenseringsformer inden for de mest almindelige hovedgrupper, herunder hvilken betydning det har for observationen af borgere og patienter. </w:t>
                      </w:r>
                    </w:p>
                    <w:p w14:paraId="4EC84FFC" w14:textId="77777777" w:rsidR="00030160" w:rsidRDefault="00030160" w:rsidP="00030160">
                      <w:pPr>
                        <w:pStyle w:val="Default"/>
                        <w:rPr>
                          <w:rFonts w:ascii="Candara" w:hAnsi="Candara"/>
                          <w:sz w:val="22"/>
                          <w:szCs w:val="22"/>
                        </w:rPr>
                      </w:pPr>
                      <w:r>
                        <w:rPr>
                          <w:rFonts w:ascii="Candara" w:hAnsi="Candara"/>
                          <w:sz w:val="22"/>
                          <w:szCs w:val="22"/>
                        </w:rPr>
                        <w:t xml:space="preserve">         </w:t>
                      </w:r>
                    </w:p>
                    <w:p w14:paraId="75B14751" w14:textId="77777777" w:rsidR="00030160" w:rsidRPr="00030160" w:rsidRDefault="00030160" w:rsidP="00F243C2">
                      <w:pPr>
                        <w:pStyle w:val="Default"/>
                        <w:numPr>
                          <w:ilvl w:val="0"/>
                          <w:numId w:val="1"/>
                        </w:numPr>
                        <w:rPr>
                          <w:rFonts w:ascii="Candara" w:hAnsi="Candara"/>
                          <w:sz w:val="22"/>
                          <w:szCs w:val="22"/>
                        </w:rPr>
                      </w:pPr>
                      <w:r w:rsidRPr="00030160">
                        <w:rPr>
                          <w:rFonts w:ascii="Candara" w:hAnsi="Candara"/>
                          <w:sz w:val="22"/>
                          <w:szCs w:val="22"/>
                        </w:rPr>
                        <w:t xml:space="preserve">Eleven kan anvende viden om sundhedspædagogiske metoder, redskaber og praksisformer, herunder vejledning, motivation, compliance og selvadministration i samarbejdet med borgere, patienter og pårørende i primær og sekundær sektor, herunder samarbejde med almen praksis til at øge kvaliteten og patientsikkerheden ved medicinhåndtering. </w:t>
                      </w:r>
                    </w:p>
                    <w:p w14:paraId="2D09E749" w14:textId="77777777" w:rsidR="00030160" w:rsidRDefault="00030160" w:rsidP="00030160">
                      <w:pPr>
                        <w:pStyle w:val="Default"/>
                        <w:rPr>
                          <w:rFonts w:ascii="Candara" w:hAnsi="Candara"/>
                          <w:sz w:val="22"/>
                          <w:szCs w:val="22"/>
                        </w:rPr>
                      </w:pPr>
                    </w:p>
                    <w:p w14:paraId="6FFAB4E8" w14:textId="77777777" w:rsidR="00030160" w:rsidRPr="00030160" w:rsidRDefault="00030160" w:rsidP="00705716">
                      <w:pPr>
                        <w:pStyle w:val="Default"/>
                        <w:numPr>
                          <w:ilvl w:val="0"/>
                          <w:numId w:val="1"/>
                        </w:numPr>
                        <w:rPr>
                          <w:rFonts w:ascii="Candara" w:hAnsi="Candara"/>
                          <w:color w:val="000000" w:themeColor="text1"/>
                          <w:kern w:val="24"/>
                        </w:rPr>
                      </w:pPr>
                      <w:r w:rsidRPr="00030160">
                        <w:rPr>
                          <w:rFonts w:ascii="Candara" w:hAnsi="Candara"/>
                          <w:sz w:val="22"/>
                          <w:szCs w:val="22"/>
                        </w:rPr>
                        <w:t xml:space="preserve">Eleven kan anvende viden om hygiejne og risikofaktorer ved medicinhåndtering herunder Arbejdsmiljøudvalgets opgave og arbejdsmiljøcertificering til at forebygge arbejdsskader i praksis. </w:t>
                      </w:r>
                    </w:p>
                  </w:txbxContent>
                </v:textbox>
                <w10:wrap type="square" anchorx="margin"/>
              </v:shape>
            </w:pict>
          </mc:Fallback>
        </mc:AlternateContent>
      </w:r>
    </w:p>
    <w:sectPr w:rsidR="00030160" w:rsidRPr="00196D62" w:rsidSect="00623E54">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37E26" w14:textId="77777777" w:rsidR="00F81E10" w:rsidRDefault="00F81E10" w:rsidP="00030160">
      <w:r>
        <w:separator/>
      </w:r>
    </w:p>
  </w:endnote>
  <w:endnote w:type="continuationSeparator" w:id="0">
    <w:p w14:paraId="5A9D633C" w14:textId="77777777" w:rsidR="00F81E10" w:rsidRDefault="00F81E10" w:rsidP="0003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FCCF8" w14:textId="77777777" w:rsidR="00F81E10" w:rsidRDefault="00F81E10" w:rsidP="00030160">
      <w:r>
        <w:separator/>
      </w:r>
    </w:p>
  </w:footnote>
  <w:footnote w:type="continuationSeparator" w:id="0">
    <w:p w14:paraId="7843703E" w14:textId="77777777" w:rsidR="00F81E10" w:rsidRDefault="00F81E10" w:rsidP="00030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789F"/>
    <w:multiLevelType w:val="hybridMultilevel"/>
    <w:tmpl w:val="09D820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86B4F86"/>
    <w:multiLevelType w:val="hybridMultilevel"/>
    <w:tmpl w:val="BBA669A8"/>
    <w:lvl w:ilvl="0" w:tplc="CD1C6512">
      <w:start w:val="8"/>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8D"/>
    <w:rsid w:val="00030160"/>
    <w:rsid w:val="000332E2"/>
    <w:rsid w:val="0007651B"/>
    <w:rsid w:val="000E4933"/>
    <w:rsid w:val="000F24E6"/>
    <w:rsid w:val="001141ED"/>
    <w:rsid w:val="00142A08"/>
    <w:rsid w:val="00175C6C"/>
    <w:rsid w:val="00196D62"/>
    <w:rsid w:val="001D7386"/>
    <w:rsid w:val="00216719"/>
    <w:rsid w:val="0024368E"/>
    <w:rsid w:val="00275985"/>
    <w:rsid w:val="002815E8"/>
    <w:rsid w:val="0028535D"/>
    <w:rsid w:val="002912D5"/>
    <w:rsid w:val="002B7AFC"/>
    <w:rsid w:val="002D6A7F"/>
    <w:rsid w:val="002F4220"/>
    <w:rsid w:val="002F7F7B"/>
    <w:rsid w:val="003164EA"/>
    <w:rsid w:val="00322459"/>
    <w:rsid w:val="00362482"/>
    <w:rsid w:val="003747BE"/>
    <w:rsid w:val="00384B01"/>
    <w:rsid w:val="00390D10"/>
    <w:rsid w:val="0039664F"/>
    <w:rsid w:val="003B358A"/>
    <w:rsid w:val="003F466E"/>
    <w:rsid w:val="00441793"/>
    <w:rsid w:val="00463ED3"/>
    <w:rsid w:val="0048116A"/>
    <w:rsid w:val="004D1DE8"/>
    <w:rsid w:val="004D4873"/>
    <w:rsid w:val="004E4ABD"/>
    <w:rsid w:val="004E5450"/>
    <w:rsid w:val="00526CD1"/>
    <w:rsid w:val="00531A63"/>
    <w:rsid w:val="0059389C"/>
    <w:rsid w:val="005A2C45"/>
    <w:rsid w:val="005A3888"/>
    <w:rsid w:val="005A52C3"/>
    <w:rsid w:val="005C1381"/>
    <w:rsid w:val="005D729C"/>
    <w:rsid w:val="005E52EF"/>
    <w:rsid w:val="00611DF7"/>
    <w:rsid w:val="0061463A"/>
    <w:rsid w:val="00623E54"/>
    <w:rsid w:val="00641CC8"/>
    <w:rsid w:val="00643E0B"/>
    <w:rsid w:val="00672960"/>
    <w:rsid w:val="006C208C"/>
    <w:rsid w:val="006E3FD5"/>
    <w:rsid w:val="006F38C3"/>
    <w:rsid w:val="00707FCA"/>
    <w:rsid w:val="00720FBA"/>
    <w:rsid w:val="00723CCF"/>
    <w:rsid w:val="00753082"/>
    <w:rsid w:val="007556EF"/>
    <w:rsid w:val="00782B03"/>
    <w:rsid w:val="007E0A6F"/>
    <w:rsid w:val="00803A31"/>
    <w:rsid w:val="00810649"/>
    <w:rsid w:val="0081131E"/>
    <w:rsid w:val="0083668B"/>
    <w:rsid w:val="0085184E"/>
    <w:rsid w:val="00865058"/>
    <w:rsid w:val="008A293C"/>
    <w:rsid w:val="008C700D"/>
    <w:rsid w:val="008E2BE7"/>
    <w:rsid w:val="008E6F06"/>
    <w:rsid w:val="00913C9C"/>
    <w:rsid w:val="0091414F"/>
    <w:rsid w:val="00921F23"/>
    <w:rsid w:val="00923B76"/>
    <w:rsid w:val="00924299"/>
    <w:rsid w:val="00950822"/>
    <w:rsid w:val="00951583"/>
    <w:rsid w:val="009A5A67"/>
    <w:rsid w:val="009B7BD2"/>
    <w:rsid w:val="009F60E0"/>
    <w:rsid w:val="00A13DD1"/>
    <w:rsid w:val="00A2068E"/>
    <w:rsid w:val="00A27714"/>
    <w:rsid w:val="00A41B16"/>
    <w:rsid w:val="00A518CF"/>
    <w:rsid w:val="00A61241"/>
    <w:rsid w:val="00A75571"/>
    <w:rsid w:val="00AA4340"/>
    <w:rsid w:val="00AB020C"/>
    <w:rsid w:val="00AC4684"/>
    <w:rsid w:val="00AE5A73"/>
    <w:rsid w:val="00AF010E"/>
    <w:rsid w:val="00AF5C7A"/>
    <w:rsid w:val="00B00683"/>
    <w:rsid w:val="00B369BF"/>
    <w:rsid w:val="00B51C67"/>
    <w:rsid w:val="00B719F6"/>
    <w:rsid w:val="00B80E19"/>
    <w:rsid w:val="00B875E6"/>
    <w:rsid w:val="00BA676A"/>
    <w:rsid w:val="00BA73E7"/>
    <w:rsid w:val="00BB658D"/>
    <w:rsid w:val="00BD3A54"/>
    <w:rsid w:val="00BD73C4"/>
    <w:rsid w:val="00BE549E"/>
    <w:rsid w:val="00BF0176"/>
    <w:rsid w:val="00BF3044"/>
    <w:rsid w:val="00BF3C82"/>
    <w:rsid w:val="00C062A9"/>
    <w:rsid w:val="00C16F4A"/>
    <w:rsid w:val="00C17034"/>
    <w:rsid w:val="00C40CA8"/>
    <w:rsid w:val="00CA4D0C"/>
    <w:rsid w:val="00CB4B2A"/>
    <w:rsid w:val="00CB5FC8"/>
    <w:rsid w:val="00D058D6"/>
    <w:rsid w:val="00D23D29"/>
    <w:rsid w:val="00D319DC"/>
    <w:rsid w:val="00D40B9E"/>
    <w:rsid w:val="00D45046"/>
    <w:rsid w:val="00D53AD6"/>
    <w:rsid w:val="00DB0DFA"/>
    <w:rsid w:val="00DD7E30"/>
    <w:rsid w:val="00E1218E"/>
    <w:rsid w:val="00E164FF"/>
    <w:rsid w:val="00E349F0"/>
    <w:rsid w:val="00E66EF7"/>
    <w:rsid w:val="00E74C9A"/>
    <w:rsid w:val="00E81B19"/>
    <w:rsid w:val="00E97892"/>
    <w:rsid w:val="00EA6BAD"/>
    <w:rsid w:val="00EB541F"/>
    <w:rsid w:val="00F15B46"/>
    <w:rsid w:val="00F81E10"/>
    <w:rsid w:val="00F92757"/>
    <w:rsid w:val="00FA0A1F"/>
    <w:rsid w:val="00FB1A05"/>
    <w:rsid w:val="00FB47A7"/>
    <w:rsid w:val="00FF39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3677"/>
  <w15:chartTrackingRefBased/>
  <w15:docId w15:val="{0C6D706A-2EB8-417D-A1DB-A6DAAE05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Theme="minorHAnsi" w:hAnsi="Candara"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E54"/>
  </w:style>
  <w:style w:type="paragraph" w:styleId="Overskrift1">
    <w:name w:val="heading 1"/>
    <w:basedOn w:val="Normal"/>
    <w:next w:val="Normal"/>
    <w:link w:val="Overskrift1Tegn"/>
    <w:uiPriority w:val="9"/>
    <w:qFormat/>
    <w:rsid w:val="00C16F4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23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623E54"/>
    <w:rPr>
      <w:color w:val="0563C1" w:themeColor="hyperlink"/>
      <w:u w:val="single"/>
    </w:rPr>
  </w:style>
  <w:style w:type="paragraph" w:customStyle="1" w:styleId="Default">
    <w:name w:val="Default"/>
    <w:rsid w:val="00030160"/>
    <w:pPr>
      <w:autoSpaceDE w:val="0"/>
      <w:autoSpaceDN w:val="0"/>
      <w:adjustRightInd w:val="0"/>
    </w:pPr>
    <w:rPr>
      <w:rFonts w:ascii="Calibri" w:hAnsi="Calibri" w:cs="Calibri"/>
      <w:color w:val="000000"/>
    </w:rPr>
  </w:style>
  <w:style w:type="paragraph" w:styleId="Listeafsnit">
    <w:name w:val="List Paragraph"/>
    <w:basedOn w:val="Normal"/>
    <w:uiPriority w:val="34"/>
    <w:qFormat/>
    <w:rsid w:val="00030160"/>
    <w:pPr>
      <w:ind w:left="720"/>
      <w:contextualSpacing/>
    </w:pPr>
    <w:rPr>
      <w:rFonts w:asciiTheme="minorHAnsi" w:hAnsiTheme="minorHAnsi"/>
      <w:sz w:val="22"/>
      <w:szCs w:val="22"/>
    </w:rPr>
  </w:style>
  <w:style w:type="paragraph" w:styleId="Fodnotetekst">
    <w:name w:val="footnote text"/>
    <w:basedOn w:val="Normal"/>
    <w:link w:val="FodnotetekstTegn"/>
    <w:uiPriority w:val="99"/>
    <w:semiHidden/>
    <w:unhideWhenUsed/>
    <w:rsid w:val="00030160"/>
    <w:rPr>
      <w:sz w:val="20"/>
      <w:szCs w:val="20"/>
    </w:rPr>
  </w:style>
  <w:style w:type="character" w:customStyle="1" w:styleId="FodnotetekstTegn">
    <w:name w:val="Fodnotetekst Tegn"/>
    <w:basedOn w:val="Standardskrifttypeiafsnit"/>
    <w:link w:val="Fodnotetekst"/>
    <w:uiPriority w:val="99"/>
    <w:semiHidden/>
    <w:rsid w:val="00030160"/>
    <w:rPr>
      <w:sz w:val="20"/>
      <w:szCs w:val="20"/>
    </w:rPr>
  </w:style>
  <w:style w:type="character" w:styleId="Fodnotehenvisning">
    <w:name w:val="footnote reference"/>
    <w:basedOn w:val="Standardskrifttypeiafsnit"/>
    <w:uiPriority w:val="99"/>
    <w:semiHidden/>
    <w:unhideWhenUsed/>
    <w:rsid w:val="00030160"/>
    <w:rPr>
      <w:vertAlign w:val="superscript"/>
    </w:rPr>
  </w:style>
  <w:style w:type="paragraph" w:styleId="NormalWeb">
    <w:name w:val="Normal (Web)"/>
    <w:basedOn w:val="Normal"/>
    <w:uiPriority w:val="99"/>
    <w:semiHidden/>
    <w:unhideWhenUsed/>
    <w:rsid w:val="00531A63"/>
    <w:pPr>
      <w:spacing w:before="100" w:beforeAutospacing="1" w:after="100" w:afterAutospacing="1"/>
    </w:pPr>
    <w:rPr>
      <w:rFonts w:ascii="Times New Roman" w:eastAsia="Times New Roman" w:hAnsi="Times New Roman" w:cs="Times New Roman"/>
      <w:lang w:eastAsia="da-DK"/>
    </w:rPr>
  </w:style>
  <w:style w:type="paragraph" w:styleId="Markeringsbobletekst">
    <w:name w:val="Balloon Text"/>
    <w:basedOn w:val="Normal"/>
    <w:link w:val="MarkeringsbobletekstTegn"/>
    <w:uiPriority w:val="99"/>
    <w:semiHidden/>
    <w:unhideWhenUsed/>
    <w:rsid w:val="00C16F4A"/>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16F4A"/>
    <w:rPr>
      <w:rFonts w:ascii="Segoe UI" w:hAnsi="Segoe UI" w:cs="Segoe UI"/>
      <w:sz w:val="18"/>
      <w:szCs w:val="18"/>
    </w:rPr>
  </w:style>
  <w:style w:type="character" w:customStyle="1" w:styleId="Overskrift1Tegn">
    <w:name w:val="Overskrift 1 Tegn"/>
    <w:basedOn w:val="Standardskrifttypeiafsnit"/>
    <w:link w:val="Overskrift1"/>
    <w:uiPriority w:val="9"/>
    <w:rsid w:val="00C16F4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168</Words>
  <Characters>1027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Nielsen</dc:creator>
  <cp:keywords/>
  <dc:description/>
  <cp:lastModifiedBy>Mia Levring Nørgaard</cp:lastModifiedBy>
  <cp:revision>3</cp:revision>
  <cp:lastPrinted>2018-08-06T08:51:00Z</cp:lastPrinted>
  <dcterms:created xsi:type="dcterms:W3CDTF">2019-01-08T12:18:00Z</dcterms:created>
  <dcterms:modified xsi:type="dcterms:W3CDTF">2019-01-08T12:22:00Z</dcterms:modified>
</cp:coreProperties>
</file>