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47E6" w14:textId="443869CE" w:rsidR="00BC2CD8" w:rsidRDefault="00DF3AAC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Oplæringsmål</w:t>
      </w:r>
      <w:r w:rsidR="00BC2CD8">
        <w:rPr>
          <w:rFonts w:ascii="Calibri Light" w:hAnsi="Calibri Light" w:cs="Calibri Light"/>
          <w:sz w:val="40"/>
          <w:szCs w:val="40"/>
        </w:rPr>
        <w:t xml:space="preserve"> -hjælpeskema</w:t>
      </w:r>
    </w:p>
    <w:p w14:paraId="4B270FA8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90765A" w14:textId="0F7C31EA" w:rsidR="00831002" w:rsidRDefault="00DF3AAC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Oplæring</w:t>
      </w:r>
      <w:r w:rsidR="00831002">
        <w:rPr>
          <w:rFonts w:ascii="Verdana" w:hAnsi="Verdana" w:cs="Calibri"/>
          <w:b/>
          <w:bCs/>
          <w:sz w:val="22"/>
          <w:szCs w:val="22"/>
        </w:rPr>
        <w:t xml:space="preserve"> 3 – Somatisk sygepleje og rehabilitering i det sammenhængende sundhedsvæsen </w:t>
      </w:r>
    </w:p>
    <w:p w14:paraId="251917C4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EB16F1A" w14:textId="0FBC2102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Hjælpeskemaet anvendes i alle </w:t>
      </w:r>
      <w:r w:rsidR="0068524B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, og anvendes løbende af elev og vejleder i </w:t>
      </w:r>
      <w:r w:rsidR="00DF3AAC">
        <w:rPr>
          <w:rFonts w:ascii="Verdana" w:hAnsi="Verdana" w:cs="Calibri"/>
          <w:sz w:val="22"/>
          <w:szCs w:val="22"/>
        </w:rPr>
        <w:t>oplæringe</w:t>
      </w:r>
      <w:r>
        <w:rPr>
          <w:rFonts w:ascii="Verdana" w:hAnsi="Verdana" w:cs="Calibri"/>
          <w:sz w:val="22"/>
          <w:szCs w:val="22"/>
        </w:rPr>
        <w:t>n.</w:t>
      </w:r>
    </w:p>
    <w:p w14:paraId="08001B6E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FAE4B4B" w14:textId="00F47636" w:rsidR="006231D9" w:rsidRPr="00B74C8A" w:rsidRDefault="00831002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</w:t>
      </w:r>
      <w:r w:rsidR="00DF3AAC">
        <w:rPr>
          <w:rFonts w:ascii="Verdana" w:hAnsi="Verdana" w:cs="Calibri"/>
          <w:sz w:val="22"/>
          <w:szCs w:val="22"/>
        </w:rPr>
        <w:t>oplæring</w:t>
      </w:r>
      <w:r>
        <w:rPr>
          <w:rFonts w:ascii="Verdana" w:hAnsi="Verdana" w:cs="Calibri"/>
          <w:sz w:val="22"/>
          <w:szCs w:val="22"/>
        </w:rPr>
        <w:t xml:space="preserve"> 3b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</w:t>
      </w:r>
      <w:r w:rsidR="00DF3AAC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 xml:space="preserve">vejlederen om den samlede </w:t>
      </w:r>
      <w:r w:rsidR="0068524B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 3a og 3b er godkendt eller ikke godkendt. </w:t>
      </w:r>
      <w:r w:rsidR="006231D9" w:rsidRPr="00B74C8A">
        <w:rPr>
          <w:rFonts w:ascii="Verdana" w:hAnsi="Verdana" w:cs="Calibri"/>
          <w:sz w:val="22"/>
          <w:szCs w:val="22"/>
        </w:rPr>
        <w:t xml:space="preserve">(Dette gøres ved hjælp af </w:t>
      </w:r>
      <w:r w:rsidR="00DF3AAC">
        <w:rPr>
          <w:rFonts w:ascii="Verdana" w:hAnsi="Verdana" w:cs="Calibri"/>
          <w:sz w:val="22"/>
          <w:szCs w:val="22"/>
        </w:rPr>
        <w:t>oplærings</w:t>
      </w:r>
      <w:r w:rsidR="006231D9" w:rsidRPr="00B74C8A">
        <w:rPr>
          <w:rFonts w:ascii="Verdana" w:hAnsi="Verdana" w:cs="Calibri"/>
          <w:sz w:val="22"/>
          <w:szCs w:val="22"/>
        </w:rPr>
        <w:t xml:space="preserve">erklæring via SEVUs hjemmeside: </w:t>
      </w:r>
      <w:hyperlink r:id="rId5" w:history="1">
        <w:r w:rsidR="006231D9" w:rsidRPr="00B74C8A">
          <w:rPr>
            <w:rStyle w:val="Hyperlink"/>
            <w:rFonts w:ascii="Verdana" w:hAnsi="Verdana"/>
          </w:rPr>
          <w:t xml:space="preserve">Social- og sundhedsassistent - Alt om </w:t>
        </w:r>
        <w:r w:rsidR="00DF3AAC">
          <w:rPr>
            <w:rStyle w:val="Hyperlink"/>
            <w:rFonts w:ascii="Verdana" w:hAnsi="Verdana"/>
          </w:rPr>
          <w:t>oplæring</w:t>
        </w:r>
        <w:r w:rsidR="006231D9" w:rsidRPr="00B74C8A">
          <w:rPr>
            <w:rStyle w:val="Hyperlink"/>
            <w:rFonts w:ascii="Verdana" w:hAnsi="Verdana"/>
          </w:rPr>
          <w:t xml:space="preserve"> | SEVU</w:t>
        </w:r>
      </w:hyperlink>
      <w:r w:rsidR="006231D9" w:rsidRPr="00B74C8A">
        <w:rPr>
          <w:rFonts w:ascii="Verdana" w:hAnsi="Verdana" w:cs="Calibri"/>
          <w:sz w:val="22"/>
          <w:szCs w:val="22"/>
        </w:rPr>
        <w:t>).</w:t>
      </w:r>
    </w:p>
    <w:p w14:paraId="6C8B6C7C" w14:textId="77777777" w:rsidR="006231D9" w:rsidRPr="00B74C8A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4A6843DA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1CFFD7C4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"Generelt"-sektionen.</w:t>
      </w:r>
    </w:p>
    <w:p w14:paraId="1E053E51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A34612C" w14:textId="0697CB76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</w:t>
      </w:r>
      <w:r w:rsidR="00DF3AAC">
        <w:rPr>
          <w:rFonts w:ascii="Verdana" w:hAnsi="Verdana" w:cs="Calibri"/>
          <w:sz w:val="22"/>
          <w:szCs w:val="22"/>
        </w:rPr>
        <w:t>oplæringsmål</w:t>
      </w:r>
      <w:r>
        <w:rPr>
          <w:rFonts w:ascii="Verdana" w:hAnsi="Verdana" w:cs="Calibri"/>
          <w:sz w:val="22"/>
          <w:szCs w:val="22"/>
        </w:rPr>
        <w:t>et fremhæver det, der er særligt i fokus.</w:t>
      </w:r>
    </w:p>
    <w:p w14:paraId="5680B438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228E9D04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2A5FAB" w14:textId="42D8D8E0" w:rsidR="00D603CC" w:rsidRDefault="00DF3AAC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36"/>
          <w:szCs w:val="36"/>
        </w:rPr>
        <w:t>Oplæring</w:t>
      </w:r>
      <w:r w:rsidR="00BC2CD8">
        <w:rPr>
          <w:rFonts w:ascii="Verdana" w:hAnsi="Verdana" w:cs="Calibri"/>
          <w:b/>
          <w:bCs/>
          <w:sz w:val="36"/>
          <w:szCs w:val="36"/>
        </w:rPr>
        <w:t xml:space="preserve"> </w:t>
      </w:r>
      <w:r w:rsidR="000203EF">
        <w:rPr>
          <w:rFonts w:ascii="Verdana" w:hAnsi="Verdana" w:cs="Calibri"/>
          <w:b/>
          <w:bCs/>
          <w:sz w:val="36"/>
          <w:szCs w:val="36"/>
        </w:rPr>
        <w:t>3</w:t>
      </w:r>
      <w:r w:rsidR="00831002">
        <w:rPr>
          <w:rFonts w:ascii="Verdana" w:hAnsi="Verdana" w:cs="Calibri"/>
          <w:b/>
          <w:bCs/>
          <w:sz w:val="36"/>
          <w:szCs w:val="36"/>
        </w:rPr>
        <w:t>B</w:t>
      </w:r>
      <w:r w:rsidR="00BC2CD8"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BC2CD8">
        <w:rPr>
          <w:rFonts w:ascii="Verdana" w:hAnsi="Verdana" w:cs="Calibri"/>
          <w:b/>
          <w:bCs/>
          <w:sz w:val="28"/>
          <w:szCs w:val="28"/>
        </w:rPr>
        <w:t xml:space="preserve"> Forventet niveau</w:t>
      </w:r>
    </w:p>
    <w:p w14:paraId="78A50C51" w14:textId="77777777" w:rsidR="00BC2CD8" w:rsidRPr="00CF29FD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CF29FD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CF29FD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6ED68086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480D2675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0D93AF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1E775EB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38DF0" w14:textId="28E2B3FB" w:rsidR="00D603CC" w:rsidRDefault="00DF3AA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08891AA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0A38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D6B1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272C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9137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147EE986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9290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6BE51" w14:textId="086CF82D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6FEFF0AE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2F1397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5BC8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378E796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Sygeplejeteorier Orlando, Henderson, Orem og Martinsen</w:t>
            </w:r>
          </w:p>
          <w:p w14:paraId="6FD3857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0B4BA9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Fordøjelse, udskillelse og ernæring</w:t>
            </w:r>
          </w:p>
          <w:p w14:paraId="5066225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Gerontologi og hjertekredsløb</w:t>
            </w:r>
          </w:p>
          <w:p w14:paraId="793F6ED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Hormonsystemet</w:t>
            </w:r>
          </w:p>
          <w:p w14:paraId="118D14A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Nyrer - urinveje</w:t>
            </w:r>
          </w:p>
          <w:p w14:paraId="6C5D90E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Respirationsorganerne</w:t>
            </w:r>
          </w:p>
          <w:p w14:paraId="5C8C9FA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Nervesystemet</w:t>
            </w:r>
          </w:p>
          <w:p w14:paraId="19D6545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E6E52B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96715E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 af borgere med psykiatrisk diagnose inkl. demens</w:t>
            </w:r>
          </w:p>
          <w:p w14:paraId="02C05BAC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988A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F4C978F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85F237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4E04FE3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5B891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666B51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2FD7B3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7729644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1FB76F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E8C8F" w14:textId="77777777" w:rsidR="00D603CC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4332CB5" w14:textId="77777777" w:rsidR="00831002" w:rsidRDefault="008310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A46DEAB" w14:textId="77777777" w:rsidR="00831002" w:rsidRDefault="008310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BD90177" w14:textId="77777777" w:rsidR="00831002" w:rsidRDefault="008310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F1A06AD" w14:textId="77777777" w:rsidR="00831002" w:rsidRPr="00596A18" w:rsidRDefault="008310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6A25524A" w14:textId="77777777" w:rsidR="006231D9" w:rsidRDefault="00BC2CD8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1025464F" w14:textId="77777777" w:rsidTr="006231D9">
        <w:tc>
          <w:tcPr>
            <w:tcW w:w="4942" w:type="dxa"/>
            <w:shd w:val="clear" w:color="auto" w:fill="ED7D31"/>
          </w:tcPr>
          <w:p w14:paraId="34D2E309" w14:textId="7D8BF0DC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95C974E" w14:textId="3F5F5410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11FEEDDA" w14:textId="77777777" w:rsidTr="006231D9">
        <w:tc>
          <w:tcPr>
            <w:tcW w:w="4942" w:type="dxa"/>
            <w:shd w:val="clear" w:color="auto" w:fill="auto"/>
          </w:tcPr>
          <w:p w14:paraId="0106F64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23CB4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3949F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D672E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03235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703FE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1512B8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431A4741" w14:textId="77777777" w:rsidTr="006231D9">
        <w:tc>
          <w:tcPr>
            <w:tcW w:w="4942" w:type="dxa"/>
            <w:shd w:val="clear" w:color="auto" w:fill="ED7D31"/>
          </w:tcPr>
          <w:p w14:paraId="7BF76C94" w14:textId="7EFB50F6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E0D664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22C53B1" w14:textId="4E555CB6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BD28896" w14:textId="77777777" w:rsidR="00A90C0B" w:rsidRDefault="00A90C0B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011A384" w14:textId="5993874A" w:rsidR="007B2884" w:rsidRDefault="007B2884" w:rsidP="006231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75F0AE8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ACA68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BF3CE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C3840" w14:textId="4FF71138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6846E8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772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D38EE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E06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8E9D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EC437B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25C9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705DD" w14:textId="738295DD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D68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Ernæringsscreening</w:t>
            </w:r>
          </w:p>
          <w:p w14:paraId="1E5B2B4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Søge information på sundhedsstyrelsens hjemmeside</w:t>
            </w:r>
          </w:p>
          <w:p w14:paraId="2A98E13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605F12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 og dokumentation</w:t>
            </w:r>
          </w:p>
          <w:p w14:paraId="6D02032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1406ED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Socialpædagogisk tilgang og metoder</w:t>
            </w:r>
          </w:p>
          <w:p w14:paraId="1FE8653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17F397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TOKS</w:t>
            </w:r>
          </w:p>
          <w:p w14:paraId="78CD14DC" w14:textId="77777777" w:rsidR="007B2884" w:rsidRP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</w:t>
            </w:r>
            <w:r w:rsidR="00982522">
              <w:rPr>
                <w:rFonts w:ascii="Calibri" w:hAnsi="Calibri" w:cs="Calibri"/>
                <w:sz w:val="22"/>
                <w:szCs w:val="22"/>
              </w:rPr>
              <w:t xml:space="preserve"> -net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637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99B62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90DE66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54C57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2ED4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D15A03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1B085F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105E1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AF5D6B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3B3D4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AA2D2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E93D829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D87B61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40213F4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4A66C13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3BC96B5B" w14:textId="77777777" w:rsidTr="006231D9">
        <w:tc>
          <w:tcPr>
            <w:tcW w:w="4942" w:type="dxa"/>
            <w:shd w:val="clear" w:color="auto" w:fill="ED7D31"/>
          </w:tcPr>
          <w:p w14:paraId="4F8CDAA9" w14:textId="76B430D3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9AD635A" w14:textId="21DDFA9F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4D1E631F" w14:textId="77777777" w:rsidTr="006231D9">
        <w:tc>
          <w:tcPr>
            <w:tcW w:w="4942" w:type="dxa"/>
            <w:shd w:val="clear" w:color="auto" w:fill="auto"/>
          </w:tcPr>
          <w:p w14:paraId="39285EF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D032E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3E77F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8D8F6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C35D9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EAA81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83FA80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5F358F6C" w14:textId="77777777" w:rsidTr="006231D9">
        <w:tc>
          <w:tcPr>
            <w:tcW w:w="4942" w:type="dxa"/>
            <w:shd w:val="clear" w:color="auto" w:fill="ED7D31"/>
          </w:tcPr>
          <w:p w14:paraId="21CD6DC9" w14:textId="6206CD6B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0F9837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4CC139A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E2BA750" w14:textId="4418CDF7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BBE9E86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488E28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45B2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FBB187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6EAA4" w14:textId="2EAB5DBD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59848C3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2FBF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8BC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EB87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6AF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3F1BA3D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657E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778CE" w14:textId="435B6C33" w:rsidR="007A3D48" w:rsidRPr="003D7E0C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identificere og reagere på ændring i borgerens/patientens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sundhedstilstand. </w:t>
            </w:r>
          </w:p>
          <w:p w14:paraId="7FF27E0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Ved uforudsete og komplekse problemstillinger kan eleven udføre </w:t>
            </w:r>
            <w:r w:rsidRPr="000203EF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sygeplejehandlinger inden for eget kompetenceområde samt delegerede sygeplejehandlinger, </w:t>
            </w:r>
            <w:r w:rsidRPr="000203EF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E04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Grundlæggende viden om fordøjelsessystemet, hjertekredsløb, diabetes, nyrer- urinveje, respirationsorganerne, nervesystemet, gerontologi. </w:t>
            </w:r>
          </w:p>
          <w:p w14:paraId="5F20DDA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</w:t>
            </w:r>
          </w:p>
          <w:p w14:paraId="0AE3618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0212B1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Gerontopsykiatri herunder demens former, skizofreni, affektive sindslidelse, dobbeltdiagnose, personlighedsforstyrrelse.</w:t>
            </w:r>
          </w:p>
          <w:p w14:paraId="237E1FC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8956DF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Grundlæggende sygepleje til en borger med kateter</w:t>
            </w:r>
          </w:p>
          <w:p w14:paraId="57A81BF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7464D1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F0759B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808D74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farmakodynamik og farmakokinetik.</w:t>
            </w:r>
          </w:p>
          <w:p w14:paraId="7638BCC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Observation af virkning og bivirkning af lægemidler:</w:t>
            </w:r>
          </w:p>
          <w:p w14:paraId="79AEF84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877C1D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Laksantia </w:t>
            </w:r>
          </w:p>
          <w:p w14:paraId="35542D4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Insulin og antidiabetika</w:t>
            </w:r>
          </w:p>
          <w:p w14:paraId="795A8E6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Antipsykotika</w:t>
            </w:r>
          </w:p>
          <w:p w14:paraId="2216F94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Antidepressiva</w:t>
            </w:r>
          </w:p>
          <w:p w14:paraId="666651F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Hypnotika</w:t>
            </w:r>
          </w:p>
          <w:p w14:paraId="7E625E0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Benzodiazepiner</w:t>
            </w:r>
          </w:p>
          <w:p w14:paraId="1EBDCCF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Alzheimer medicin</w:t>
            </w:r>
          </w:p>
          <w:p w14:paraId="726E0AC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Analgetika</w:t>
            </w:r>
          </w:p>
          <w:p w14:paraId="029F903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Polyfarmaci </w:t>
            </w:r>
          </w:p>
          <w:p w14:paraId="3E6B67D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97C6EB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Naturfaglig viden om syre/basebalance, synapsespalte og signalstoffer </w:t>
            </w:r>
          </w:p>
          <w:p w14:paraId="75B1374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AA1965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411B72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Førstehjælp, generhvervelse</w:t>
            </w:r>
          </w:p>
          <w:p w14:paraId="06AC902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5226C4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EUD elever har valgfrit udd. Specifikt fag:</w:t>
            </w:r>
          </w:p>
          <w:p w14:paraId="34A19AC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Assistentens opgaver i forbindelse med livets afslutning</w:t>
            </w:r>
          </w:p>
          <w:p w14:paraId="36BC28E6" w14:textId="77777777" w:rsidR="007B2884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B79E082" w14:textId="77777777" w:rsidR="000203EF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DA6DD14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TOKS</w:t>
            </w:r>
          </w:p>
          <w:p w14:paraId="457C19DD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Præ, per og postoperativ tilstand</w:t>
            </w:r>
          </w:p>
          <w:p w14:paraId="44F905B5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Hud og slimhinder- forebygge tryksår</w:t>
            </w:r>
          </w:p>
          <w:p w14:paraId="205CC31A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Knogler, muskler og led</w:t>
            </w:r>
          </w:p>
          <w:p w14:paraId="21B587D3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Palliation- fokus på livskvalitet i det levede liv</w:t>
            </w:r>
          </w:p>
          <w:p w14:paraId="4C287927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Lidelse og omsorg</w:t>
            </w:r>
          </w:p>
          <w:p w14:paraId="47BC9C4B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Sorg og krise- Cullberg</w:t>
            </w:r>
          </w:p>
          <w:p w14:paraId="29C4BBE5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To-spors modellen </w:t>
            </w:r>
          </w:p>
          <w:p w14:paraId="7B690113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Etik</w:t>
            </w:r>
          </w:p>
          <w:p w14:paraId="065B41A6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227A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65E78A1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EAA0B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C7E36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7F71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99FDB5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4AD8CD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101DD5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F953163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49AA0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4FCC91C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0BC20F8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49B63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2E039F2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71D898EA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5B002B06" w14:textId="77777777" w:rsidTr="006231D9">
        <w:tc>
          <w:tcPr>
            <w:tcW w:w="4942" w:type="dxa"/>
            <w:shd w:val="clear" w:color="auto" w:fill="ED7D31"/>
          </w:tcPr>
          <w:p w14:paraId="1D6F2BEA" w14:textId="1DC4245A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CF480DB" w14:textId="61818FB0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4469A295" w14:textId="77777777" w:rsidTr="006231D9">
        <w:tc>
          <w:tcPr>
            <w:tcW w:w="4942" w:type="dxa"/>
            <w:shd w:val="clear" w:color="auto" w:fill="auto"/>
          </w:tcPr>
          <w:p w14:paraId="307F5A6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BADC8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AA3394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89922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B7BBE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B0647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009D62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428484B" w14:textId="77777777" w:rsidTr="006231D9">
        <w:tc>
          <w:tcPr>
            <w:tcW w:w="4942" w:type="dxa"/>
            <w:shd w:val="clear" w:color="auto" w:fill="ED7D31"/>
          </w:tcPr>
          <w:p w14:paraId="238F1741" w14:textId="3365C65C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37BEC6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86A0CD0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B2403B6" w14:textId="377A3771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AF0A3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725379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813E1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18FA39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38D47" w14:textId="1E6E9BA3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27CFCA3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C74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8818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E21A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F2A4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088250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1666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173A1" w14:textId="64AD4A89" w:rsidR="007B2884" w:rsidRPr="003D7E0C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helhedsorienteret tilgang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, der understøtter borgerens/patientens mestring af eget liv, selvstændigt og i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samarbejde med borgeren/patienten og pårørende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arbejde med rehabilitering og recovery. </w:t>
            </w:r>
          </w:p>
          <w:p w14:paraId="2CCD998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68829D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C36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Livshistorie og livsformers betydning for hverdagslivet</w:t>
            </w:r>
          </w:p>
          <w:p w14:paraId="67E682A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113045A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03EBBAA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0563927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57F6F99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Recovery og psykoeducation</w:t>
            </w:r>
          </w:p>
          <w:p w14:paraId="38D1A9D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Jeg-støtte</w:t>
            </w:r>
          </w:p>
          <w:p w14:paraId="5E6E49D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tilgang</w:t>
            </w:r>
          </w:p>
          <w:p w14:paraId="4814A78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Mestring</w:t>
            </w:r>
          </w:p>
          <w:p w14:paraId="5B6BFD1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Samarbejde og støtte af pårørende</w:t>
            </w:r>
          </w:p>
          <w:p w14:paraId="58D9891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C6DFFFE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Livskvalitet-begreber</w:t>
            </w:r>
          </w:p>
          <w:p w14:paraId="130280AD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Siri Ness og Kajandi</w:t>
            </w:r>
          </w:p>
          <w:p w14:paraId="620F38A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Borgerens mestring og mestringsstrategier</w:t>
            </w:r>
          </w:p>
          <w:p w14:paraId="7CFE17CA" w14:textId="77777777" w:rsidR="000203EF" w:rsidRDefault="000203EF" w:rsidP="000203E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Mere vedr. rehabilitering, træningsplaner ICF og COPM</w:t>
            </w:r>
          </w:p>
          <w:p w14:paraId="3AE3A382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4874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AC642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2E39A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0A032F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FA7F6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56B62B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3B77C0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11DAEB9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4C00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908B28C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DB6A092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3AB03F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C9506C2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1DB11871" w14:textId="77777777" w:rsidTr="006231D9">
        <w:tc>
          <w:tcPr>
            <w:tcW w:w="4942" w:type="dxa"/>
            <w:shd w:val="clear" w:color="auto" w:fill="ED7D31"/>
          </w:tcPr>
          <w:p w14:paraId="1C31142D" w14:textId="2F4B4CB6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1DFB1B4" w14:textId="59BF0181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167768F" w14:textId="77777777" w:rsidTr="006231D9">
        <w:tc>
          <w:tcPr>
            <w:tcW w:w="4942" w:type="dxa"/>
            <w:shd w:val="clear" w:color="auto" w:fill="auto"/>
          </w:tcPr>
          <w:p w14:paraId="2E03568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1C659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715FA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6FDD7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90F15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880DF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48BC73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E782F80" w14:textId="77777777" w:rsidTr="006231D9">
        <w:tc>
          <w:tcPr>
            <w:tcW w:w="4942" w:type="dxa"/>
            <w:shd w:val="clear" w:color="auto" w:fill="ED7D31"/>
          </w:tcPr>
          <w:p w14:paraId="793C080A" w14:textId="77473FB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F0D5B6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3C2F401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24E3D60" w14:textId="59178E2C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E954AD0" w14:textId="3196C27B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AFB1D9" w14:textId="1246CD21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1382D73" w14:textId="2334730A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2E0D71" w14:textId="77777777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063FD9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41CE6B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405C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305FB76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AF4A1" w14:textId="36D6A66A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3657B0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82FA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197F0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AE3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6E8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C896FE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AE2E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F8027" w14:textId="79A4F5EB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og tværprofessionelt arbejde sundhedsfremmende og ud fra et helhedssyn forebygge udvikling af livsstilssygdomme ved at vejlede og motivere borgeren/patienten 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0F8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 og mestring (Antonovsky, Bruun Jensen og Lazarus)</w:t>
            </w:r>
          </w:p>
          <w:p w14:paraId="0C2503E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31304B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Sheldons 4 motivationsformer</w:t>
            </w:r>
          </w:p>
          <w:p w14:paraId="0BA9A85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6ACF29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Forebyggelse  </w:t>
            </w:r>
          </w:p>
          <w:p w14:paraId="33E396E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D205FB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Motiverende samtale</w:t>
            </w:r>
          </w:p>
          <w:p w14:paraId="1E045C2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Livsstilssygdomme</w:t>
            </w:r>
          </w:p>
          <w:p w14:paraId="284FFCE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 og rådgivning</w:t>
            </w:r>
          </w:p>
          <w:p w14:paraId="1FA57D9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relationsmodel</w:t>
            </w:r>
          </w:p>
          <w:p w14:paraId="2ACEC2C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5912E804" w14:textId="77777777" w:rsidR="007B2884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5BC33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Livskvalitet-begreber</w:t>
            </w:r>
          </w:p>
          <w:p w14:paraId="6C5DB035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Siri Ness og Kajandi</w:t>
            </w:r>
          </w:p>
          <w:p w14:paraId="613DD22B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Borgerens mestring og mestringsstrategier</w:t>
            </w:r>
          </w:p>
          <w:p w14:paraId="1BB4B1A3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Sundhedspædagogik, livsstilsfaktorer, forventninger og mål for hverdagslivet</w:t>
            </w:r>
          </w:p>
          <w:p w14:paraId="7E0F70E9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Forandringsprocesser og motiverende samtale</w:t>
            </w:r>
          </w:p>
          <w:p w14:paraId="316B8B6A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023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CE400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1F9A9F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1FA0B0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6ACB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99BDA45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1145F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0B6A1E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96CD33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07BD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ACCA9A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9603F9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E23553A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3BF97CC5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1534B8B8" w14:textId="77777777" w:rsidTr="006231D9">
        <w:tc>
          <w:tcPr>
            <w:tcW w:w="4942" w:type="dxa"/>
            <w:shd w:val="clear" w:color="auto" w:fill="ED7D31"/>
          </w:tcPr>
          <w:p w14:paraId="6D347020" w14:textId="167DCD0E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FBE5E4F" w14:textId="1E7C1064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44D6DDAD" w14:textId="77777777" w:rsidTr="006231D9">
        <w:tc>
          <w:tcPr>
            <w:tcW w:w="4942" w:type="dxa"/>
            <w:shd w:val="clear" w:color="auto" w:fill="auto"/>
          </w:tcPr>
          <w:p w14:paraId="229F314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3240B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EA8B9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FA268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A3E60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BB5E4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121B855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761D8706" w14:textId="77777777" w:rsidTr="006231D9">
        <w:tc>
          <w:tcPr>
            <w:tcW w:w="4942" w:type="dxa"/>
            <w:shd w:val="clear" w:color="auto" w:fill="ED7D31"/>
          </w:tcPr>
          <w:p w14:paraId="020320D9" w14:textId="0A5DF1A1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D0FE6F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5D1DF79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D428314" w14:textId="3F770D2F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BAB5EB9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E88F32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DAB7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C888A7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3D515" w14:textId="3BADBFC0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7882842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3EFC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2A6F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D48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8866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8B96EB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457C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7A9B5" w14:textId="7B4053E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ud fra en rehabiliterende tilgang selvstændigt planlægge, udføre og evaluere omsorg, praktisk hjælp og personlig pleje til borgere med fysiske, psykiske og sociale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64B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Rehabiliterings-begrebet- hvidbogens definition</w:t>
            </w:r>
          </w:p>
          <w:p w14:paraId="3653744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AA0F54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 </w:t>
            </w:r>
          </w:p>
          <w:p w14:paraId="4BED853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21BAD0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ICF</w:t>
            </w:r>
          </w:p>
          <w:p w14:paraId="2ACA960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MOHO</w:t>
            </w:r>
          </w:p>
          <w:p w14:paraId="38EB51C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6AC3B9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Aktivitetsanalyse</w:t>
            </w:r>
          </w:p>
          <w:p w14:paraId="08761D7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Nuzo og Flow</w:t>
            </w:r>
          </w:p>
          <w:p w14:paraId="365443E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ADL</w:t>
            </w:r>
          </w:p>
          <w:p w14:paraId="59BCE1AF" w14:textId="77777777" w:rsidR="000203EF" w:rsidRDefault="000203EF" w:rsidP="000203E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3E2AD356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Motivation, Guidning</w:t>
            </w:r>
          </w:p>
          <w:p w14:paraId="0BFA5F24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Mere vedr. rehabilitering, træningsplaner ICF og COPM</w:t>
            </w:r>
          </w:p>
          <w:p w14:paraId="1F2093D7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4559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4FE3EAA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5ACF07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692C8A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7541A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7D24935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4F2EF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DC9F38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91540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D521286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09D6111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A1A07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395E687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3CEA8463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22DDFE6F" w14:textId="77777777" w:rsidTr="006231D9">
        <w:tc>
          <w:tcPr>
            <w:tcW w:w="4942" w:type="dxa"/>
            <w:shd w:val="clear" w:color="auto" w:fill="ED7D31"/>
          </w:tcPr>
          <w:p w14:paraId="0BE5AA1A" w14:textId="46E30834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4BB5CA6" w14:textId="3F073528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1CC5890D" w14:textId="77777777" w:rsidTr="006231D9">
        <w:tc>
          <w:tcPr>
            <w:tcW w:w="4942" w:type="dxa"/>
            <w:shd w:val="clear" w:color="auto" w:fill="auto"/>
          </w:tcPr>
          <w:p w14:paraId="3976AFA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3D96E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D1D6D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2C745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77ECE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C8DFD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B41221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2020ABB4" w14:textId="77777777" w:rsidTr="006231D9">
        <w:tc>
          <w:tcPr>
            <w:tcW w:w="4942" w:type="dxa"/>
            <w:shd w:val="clear" w:color="auto" w:fill="ED7D31"/>
          </w:tcPr>
          <w:p w14:paraId="61277024" w14:textId="186550D2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1060CA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067D8FB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9886BC7" w14:textId="4AFBDEB0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19B9C3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9C4CB8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E6BE75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133A4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7E6F17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B6397" w14:textId="306C6F40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12B8522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461C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817A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09EB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590A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78CC8A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6816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FC209" w14:textId="30250EDC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tilrettelægge og gennemføre fysiske, sociale, kulturelle og kreative aktiviteter, og informere og vejlede om aktivitetstilbud, herunder inddrage netværk og frivillige ud fra borgerens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interesser og behov og understøtte borgere/patienter i at træffe egne valg. </w:t>
            </w:r>
          </w:p>
          <w:p w14:paraId="4CF396C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7EC436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E07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aktivitets betydning for borgerens sundhedstilstand.</w:t>
            </w:r>
          </w:p>
          <w:p w14:paraId="5D6C20B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83032C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0C17A58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36D5BD" w14:textId="77777777" w:rsidR="003D7E0C" w:rsidRDefault="003D7E0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Sanserne</w:t>
            </w:r>
          </w:p>
          <w:p w14:paraId="0CB25A07" w14:textId="77777777" w:rsidR="000203EF" w:rsidRDefault="000203E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1347206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Aktiviteter i forhold til demens</w:t>
            </w:r>
          </w:p>
          <w:p w14:paraId="4407127B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 og motivation</w:t>
            </w:r>
          </w:p>
          <w:p w14:paraId="5E5CE01F" w14:textId="77777777" w:rsidR="000203EF" w:rsidRP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Meningsfuldt hverdagsliv, relationel koordinering og empowerment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EE8E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30A492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CA619F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B3EF1A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A1E4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CF7D4D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AC4605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E06FD7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D369B4A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056A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939064F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BB3BCAD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959E04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7FD32A5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5EFA409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p w14:paraId="18B7E331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5F5EFE0A" w14:textId="77777777" w:rsidTr="006231D9">
        <w:tc>
          <w:tcPr>
            <w:tcW w:w="4942" w:type="dxa"/>
            <w:shd w:val="clear" w:color="auto" w:fill="ED7D31"/>
          </w:tcPr>
          <w:p w14:paraId="61939D66" w14:textId="28C369AC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70A40A5" w14:textId="50247AB6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3BA0A81B" w14:textId="77777777" w:rsidTr="006231D9">
        <w:tc>
          <w:tcPr>
            <w:tcW w:w="4942" w:type="dxa"/>
            <w:shd w:val="clear" w:color="auto" w:fill="auto"/>
          </w:tcPr>
          <w:p w14:paraId="5A44A87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FFA71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8BABAC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9B794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8923C4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2DD0C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5AFFD9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15124735" w14:textId="77777777" w:rsidTr="006231D9">
        <w:tc>
          <w:tcPr>
            <w:tcW w:w="4942" w:type="dxa"/>
            <w:shd w:val="clear" w:color="auto" w:fill="ED7D31"/>
          </w:tcPr>
          <w:p w14:paraId="1D5DDF44" w14:textId="5133B1B9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54AE3C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94268E8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59DFFC3" w14:textId="0973F6AA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0CA8D08" w14:textId="77777777" w:rsidR="006231D9" w:rsidRDefault="006231D9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969A87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278C6F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1BCA5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75EDBB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09450" w14:textId="7998F5C0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55E692C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AEF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50B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5E4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0DA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255AC0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5C8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B37A9" w14:textId="3F7D314E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258A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  <w:p w14:paraId="2F23DC20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0DC08BEC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Aseptik</w:t>
            </w:r>
          </w:p>
          <w:p w14:paraId="2EC49D79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Hygiejne omkring kateter og injektion</w:t>
            </w:r>
          </w:p>
          <w:p w14:paraId="47DA0266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Vejledning, instruktion og undervisning</w:t>
            </w:r>
          </w:p>
          <w:p w14:paraId="119ADBEC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3B08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BC8AD1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CA561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97D8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73B3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657E8A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5860F2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2FF86D5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4806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C1EE640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7428C0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B4C1F33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6EFD537B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6E539276" w14:textId="77777777" w:rsidTr="006231D9">
        <w:tc>
          <w:tcPr>
            <w:tcW w:w="4942" w:type="dxa"/>
            <w:shd w:val="clear" w:color="auto" w:fill="ED7D31"/>
          </w:tcPr>
          <w:p w14:paraId="0778804F" w14:textId="5E3C08E3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4DF1C75" w14:textId="36C733E3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2F9FF902" w14:textId="77777777" w:rsidTr="006231D9">
        <w:tc>
          <w:tcPr>
            <w:tcW w:w="4942" w:type="dxa"/>
            <w:shd w:val="clear" w:color="auto" w:fill="auto"/>
          </w:tcPr>
          <w:p w14:paraId="1726B08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4F080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CF3DE5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A59BB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540C9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746E9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AC2D63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7F43327" w14:textId="77777777" w:rsidTr="006231D9">
        <w:tc>
          <w:tcPr>
            <w:tcW w:w="4942" w:type="dxa"/>
            <w:shd w:val="clear" w:color="auto" w:fill="ED7D31"/>
          </w:tcPr>
          <w:p w14:paraId="27208816" w14:textId="1157A50B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6117CF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E5B18B7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71B9FAA" w14:textId="37C6747A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36F50A6" w14:textId="7075D275" w:rsidR="00725A6C" w:rsidRDefault="00725A6C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317D0C1" w14:textId="77777777" w:rsidR="00725A6C" w:rsidRDefault="00725A6C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9C91301" w14:textId="05005FEE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A6CD253" w14:textId="77777777" w:rsidR="006231D9" w:rsidRDefault="006231D9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1EAC37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AAA89B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96541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E8E2A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F05E6" w14:textId="0065FC07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3E6229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C823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C00E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B42A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81AD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F75440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202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BA977" w14:textId="288B8638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efter </w:t>
            </w:r>
            <w:r w:rsidR="00DF3AAC">
              <w:rPr>
                <w:rFonts w:ascii="Verdana" w:hAnsi="Verdana" w:cs="Calibri"/>
                <w:color w:val="FF0000"/>
                <w:sz w:val="20"/>
                <w:szCs w:val="20"/>
              </w:rPr>
              <w:t>oplæring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s</w:t>
            </w:r>
            <w:r w:rsidR="00DF3AAC">
              <w:rPr>
                <w:rFonts w:ascii="Verdana" w:hAnsi="Verdana" w:cs="Calibri"/>
                <w:color w:val="FF0000"/>
                <w:sz w:val="20"/>
                <w:szCs w:val="20"/>
              </w:rPr>
              <w:t>s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tedets retningslinjer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efter delegation varetage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medicinhåndtering, observere virkning/bivirkninger samt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FEF1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Farmakodynamik og farmakokinetik</w:t>
            </w:r>
          </w:p>
          <w:p w14:paraId="56412CAE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Lovgivning, kompetence, dokumentation </w:t>
            </w:r>
          </w:p>
          <w:p w14:paraId="1D5BF3D8" w14:textId="77777777" w:rsidR="007B2884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BA656C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Lægemiddelregning</w:t>
            </w:r>
          </w:p>
          <w:p w14:paraId="675BB15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3AF0E2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Hygiejne vedr. lægemidler</w:t>
            </w:r>
          </w:p>
          <w:p w14:paraId="2DBDD25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63A4E7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Medicinhåndtering</w:t>
            </w:r>
          </w:p>
          <w:p w14:paraId="65E0C0F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Observation virkning og bivirkning af lægemidler.</w:t>
            </w:r>
          </w:p>
          <w:p w14:paraId="7A576AC4" w14:textId="77777777" w:rsidR="00D669A4" w:rsidRDefault="00D669A4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6A7D366" w14:textId="77777777" w:rsidR="003D7E0C" w:rsidRPr="00596A18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Farmakologieksamen.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59C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836F5F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F874CD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49C9A5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9F690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2D4CEEC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13210E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DE7F07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047D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3D1CC4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2962484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03D7AA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76158D76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512254DD" w14:textId="77777777" w:rsidTr="006231D9">
        <w:tc>
          <w:tcPr>
            <w:tcW w:w="4942" w:type="dxa"/>
            <w:shd w:val="clear" w:color="auto" w:fill="ED7D31"/>
          </w:tcPr>
          <w:p w14:paraId="33E0F196" w14:textId="170D401E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7A0DBEF" w14:textId="1E7669AC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67EC940" w14:textId="77777777" w:rsidTr="006231D9">
        <w:tc>
          <w:tcPr>
            <w:tcW w:w="4942" w:type="dxa"/>
            <w:shd w:val="clear" w:color="auto" w:fill="auto"/>
          </w:tcPr>
          <w:p w14:paraId="2D1E717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F47BA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38E58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CA2B7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F10E6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C341E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FC4A87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155D7B60" w14:textId="77777777" w:rsidTr="006231D9">
        <w:tc>
          <w:tcPr>
            <w:tcW w:w="4942" w:type="dxa"/>
            <w:shd w:val="clear" w:color="auto" w:fill="ED7D31"/>
          </w:tcPr>
          <w:p w14:paraId="48FB59B1" w14:textId="5CEC8609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DACB30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E52C55A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EFC8B69" w14:textId="0869DF5F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97D21D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089430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895C9F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E17C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F43D14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0E39B" w14:textId="1C76DDEE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4DE879B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1409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87B2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AA41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62DB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33C740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2A9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7D59C" w14:textId="6A6D4D65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9B7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6E99E26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08EF3D7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272D4CF5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0FEE2248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DA5DE60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Livsorienteret samtale</w:t>
            </w:r>
          </w:p>
          <w:p w14:paraId="1F50E7E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DDCAF3A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B340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8473F5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054D34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13B18E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706E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1115DA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41D7C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FFFBE2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ED9F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4AD4A9A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713B64E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A45CFA9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527A9BC4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762F77E1" w14:textId="77777777" w:rsidTr="006231D9">
        <w:tc>
          <w:tcPr>
            <w:tcW w:w="4942" w:type="dxa"/>
            <w:shd w:val="clear" w:color="auto" w:fill="ED7D31"/>
          </w:tcPr>
          <w:p w14:paraId="44B68040" w14:textId="26F617E5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862ED1F" w14:textId="69E57CAA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54F5FB7" w14:textId="77777777" w:rsidTr="006231D9">
        <w:tc>
          <w:tcPr>
            <w:tcW w:w="4942" w:type="dxa"/>
            <w:shd w:val="clear" w:color="auto" w:fill="auto"/>
          </w:tcPr>
          <w:p w14:paraId="1616E6B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9E4E4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2ECCE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78314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067B4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B5405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E73389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450E06AF" w14:textId="77777777" w:rsidTr="006231D9">
        <w:tc>
          <w:tcPr>
            <w:tcW w:w="4942" w:type="dxa"/>
            <w:shd w:val="clear" w:color="auto" w:fill="ED7D31"/>
          </w:tcPr>
          <w:p w14:paraId="511794F2" w14:textId="4038A9F1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0B9DAD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6233C78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4556C56" w14:textId="50D399B7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C2A0C57" w14:textId="73B07EDC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4FFBCC6" w14:textId="71F9E5B2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AEDE1D7" w14:textId="77777777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4282B1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408ED4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87FF4E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3051E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E6851A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22467" w14:textId="17A087B6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2A0B52F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BB0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9D4A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0B21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DBE0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19C7E3B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E3EE9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58739" w14:textId="32A34FB8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gennemføre 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>pædagogiske aktiviteter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8A8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Rådgivning, vejledning og instruktion</w:t>
            </w:r>
          </w:p>
          <w:p w14:paraId="6D0BF0F9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model</w:t>
            </w:r>
          </w:p>
          <w:p w14:paraId="7E28666E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6EEE926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17370C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organisering, koordinering og teamledelse</w:t>
            </w:r>
          </w:p>
          <w:p w14:paraId="54BA69C5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E787E7D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Vejledning af kolleger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945A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6129D2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24519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35BC98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F238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E13941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251536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BB72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B9EE4E2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9BF7A09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1B96D22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F00821C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41120B9D" w14:textId="77777777" w:rsidTr="006231D9">
        <w:tc>
          <w:tcPr>
            <w:tcW w:w="4942" w:type="dxa"/>
            <w:shd w:val="clear" w:color="auto" w:fill="ED7D31"/>
          </w:tcPr>
          <w:p w14:paraId="718C25A4" w14:textId="337BF410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88CEAA2" w14:textId="2AD73980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25838E49" w14:textId="77777777" w:rsidTr="006231D9">
        <w:tc>
          <w:tcPr>
            <w:tcW w:w="4942" w:type="dxa"/>
            <w:shd w:val="clear" w:color="auto" w:fill="auto"/>
          </w:tcPr>
          <w:p w14:paraId="6C5459C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B06108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B4B2A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9379A7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2ED97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58C60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5B2C02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6B6DA6EF" w14:textId="77777777" w:rsidTr="006231D9">
        <w:tc>
          <w:tcPr>
            <w:tcW w:w="4942" w:type="dxa"/>
            <w:shd w:val="clear" w:color="auto" w:fill="ED7D31"/>
          </w:tcPr>
          <w:p w14:paraId="42F65DBC" w14:textId="460903C3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076DFA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8AA064D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6A4E76F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F4F800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7EFDD1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800C26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E9C36C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F7CA2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8CD0CB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CEB33" w14:textId="16DC271D" w:rsidR="007B2884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4687BFE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A83A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932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8DEC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63A6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3F77BF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F09B9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4E157" w14:textId="2D7D5ED1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kommunikere på en måde der, under hensyntagen til egen og andres sikkerhed, understøtter borgere og patienters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integritet og selvbestemmelse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85FE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Kultur</w:t>
            </w:r>
          </w:p>
          <w:p w14:paraId="350254B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Sundhedsopfattelser</w:t>
            </w:r>
          </w:p>
          <w:p w14:paraId="3579ACFB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Værdighed </w:t>
            </w:r>
          </w:p>
          <w:p w14:paraId="17EDD641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Integritet</w:t>
            </w:r>
          </w:p>
          <w:p w14:paraId="1A413084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 og refleksion</w:t>
            </w:r>
          </w:p>
          <w:p w14:paraId="51EEF49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7295CD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sygepleje</w:t>
            </w:r>
          </w:p>
          <w:p w14:paraId="68DC12E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Kognitiv tilgang og forsvarsmekanismer </w:t>
            </w:r>
          </w:p>
          <w:p w14:paraId="5DCDFD7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</w:t>
            </w:r>
          </w:p>
          <w:p w14:paraId="4282688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Lokalt kriseberedskab</w:t>
            </w:r>
          </w:p>
          <w:p w14:paraId="1FF0946E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 om selvbestemmelse</w:t>
            </w:r>
          </w:p>
          <w:p w14:paraId="6B7AF8D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 og tvang</w:t>
            </w:r>
          </w:p>
          <w:p w14:paraId="67A8D80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Stress håndtering</w:t>
            </w:r>
          </w:p>
          <w:p w14:paraId="53752817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FCB2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770837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27105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4E7880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5ADDF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015F8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DBBD84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A64E1C6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65BC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F6C660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93920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456152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57711ED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702A80D9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492A51F8" w14:textId="77777777" w:rsidTr="006231D9">
        <w:tc>
          <w:tcPr>
            <w:tcW w:w="4942" w:type="dxa"/>
            <w:shd w:val="clear" w:color="auto" w:fill="ED7D31"/>
          </w:tcPr>
          <w:p w14:paraId="299DF048" w14:textId="0E332E2D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B17BFEB" w14:textId="1755423D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36BB30DA" w14:textId="77777777" w:rsidTr="006231D9">
        <w:tc>
          <w:tcPr>
            <w:tcW w:w="4942" w:type="dxa"/>
            <w:shd w:val="clear" w:color="auto" w:fill="auto"/>
          </w:tcPr>
          <w:p w14:paraId="7797686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8CA13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1283F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5E712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27C2C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673AE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64CADF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1F4A275E" w14:textId="77777777" w:rsidTr="006231D9">
        <w:tc>
          <w:tcPr>
            <w:tcW w:w="4942" w:type="dxa"/>
            <w:shd w:val="clear" w:color="auto" w:fill="ED7D31"/>
          </w:tcPr>
          <w:p w14:paraId="464DFDA7" w14:textId="3283A20F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908BD1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AD51417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DCBE7BE" w14:textId="5B70B97B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28639BD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2620012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4F837F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9887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6E5BDA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8DFB9" w14:textId="623B7B31" w:rsidR="00D5332A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179B76F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F31B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28FA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E85B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B805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9FC4EF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6EF5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7DD4E" w14:textId="1921AD64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kommunikere og dokumentere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faglige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handlinger i relevante dokumentationssystemer med henblik på at understøtte patientsikre overgange og kontinuitet i det samlede borger/patientforløb og øge den borger-/patientoplevede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BBE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Dokumentation </w:t>
            </w:r>
          </w:p>
          <w:p w14:paraId="1C613F3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59C3F03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(begyndende kendskab) FS III</w:t>
            </w:r>
          </w:p>
          <w:p w14:paraId="4CE3146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3E932DAE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F4C39C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forhold til lægemidler</w:t>
            </w:r>
          </w:p>
          <w:p w14:paraId="1A50C79B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806500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system</w:t>
            </w:r>
          </w:p>
          <w:p w14:paraId="1538609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2EDEC1C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Sygeplejeplaner</w:t>
            </w:r>
          </w:p>
          <w:p w14:paraId="32BD7E6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Handleplaner</w:t>
            </w:r>
          </w:p>
          <w:p w14:paraId="2AA6563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Kontaktpersonordning</w:t>
            </w:r>
          </w:p>
          <w:p w14:paraId="4A452815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5A1F93C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Kvalitetssikring</w:t>
            </w:r>
          </w:p>
          <w:p w14:paraId="0874430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Evidensbaseret sygepleje</w:t>
            </w:r>
          </w:p>
          <w:p w14:paraId="6F3D582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Instrukser og retningslinjer</w:t>
            </w:r>
          </w:p>
          <w:p w14:paraId="1F6C023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praksis</w:t>
            </w:r>
          </w:p>
          <w:p w14:paraId="0D9D282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Pligter og rettigheder som autoriseret sundhedsperson</w:t>
            </w:r>
          </w:p>
          <w:p w14:paraId="611B5BC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Databehandling</w:t>
            </w:r>
          </w:p>
          <w:p w14:paraId="719BDC4B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035F19A4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76D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04E9B8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54DC83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406A77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376FD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1308C44B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25F38CD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12FC39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2D1D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B18718E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3C92F9F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834DB3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ECA17B4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3D07855E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00A0637E" w14:textId="77777777" w:rsidTr="006231D9">
        <w:tc>
          <w:tcPr>
            <w:tcW w:w="4942" w:type="dxa"/>
            <w:shd w:val="clear" w:color="auto" w:fill="ED7D31"/>
          </w:tcPr>
          <w:p w14:paraId="6494446F" w14:textId="440999CC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71235A3" w14:textId="13BC02F0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27DE141B" w14:textId="77777777" w:rsidTr="006231D9">
        <w:tc>
          <w:tcPr>
            <w:tcW w:w="4942" w:type="dxa"/>
            <w:shd w:val="clear" w:color="auto" w:fill="auto"/>
          </w:tcPr>
          <w:p w14:paraId="241591D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89DB3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ABFC6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1FFB42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9AFB5E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E2487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803E11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24D8B254" w14:textId="77777777" w:rsidTr="006231D9">
        <w:tc>
          <w:tcPr>
            <w:tcW w:w="4942" w:type="dxa"/>
            <w:shd w:val="clear" w:color="auto" w:fill="ED7D31"/>
          </w:tcPr>
          <w:p w14:paraId="0DB61BDD" w14:textId="7DF12D65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E57AEC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83E1689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9A10FFB" w14:textId="70F34D53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EEFDE0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5E52C8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E7796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58E569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D8374" w14:textId="22AD2D19" w:rsidR="00D5332A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35C8B86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646C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5B7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306C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90BC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23667608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923A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9D939" w14:textId="2D91224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koordinere og tilrettelægge eget og andres arbejde samt understøtte og indgå i teamsamarbejde omkring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167A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vejledning, rådgivning og didaktik.</w:t>
            </w:r>
          </w:p>
          <w:p w14:paraId="7F6E3E0D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34F831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5C65DC4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4ABF98F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335BC5B2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Rollen som SSA</w:t>
            </w:r>
          </w:p>
          <w:p w14:paraId="62BC1D92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65C7570F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organisering, koordinering og teamledelse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3BF4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CAED98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ADC8AE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9C99ED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FF05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814A0C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A681A2E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6C1192C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F8B3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8BDB6B2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116972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B2118F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58529F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73267AB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5E3D83D8" w14:textId="77777777" w:rsidTr="006231D9">
        <w:tc>
          <w:tcPr>
            <w:tcW w:w="4942" w:type="dxa"/>
            <w:shd w:val="clear" w:color="auto" w:fill="ED7D31"/>
          </w:tcPr>
          <w:p w14:paraId="03BFD8C0" w14:textId="0C692E63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1EAF81E" w14:textId="4189C906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9F7E966" w14:textId="77777777" w:rsidTr="006231D9">
        <w:tc>
          <w:tcPr>
            <w:tcW w:w="4942" w:type="dxa"/>
            <w:shd w:val="clear" w:color="auto" w:fill="auto"/>
          </w:tcPr>
          <w:p w14:paraId="78F7D38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79D42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CBCEE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CE4B3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2947A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AE284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64D2E5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647966F5" w14:textId="77777777" w:rsidTr="006231D9">
        <w:tc>
          <w:tcPr>
            <w:tcW w:w="4942" w:type="dxa"/>
            <w:shd w:val="clear" w:color="auto" w:fill="ED7D31"/>
          </w:tcPr>
          <w:p w14:paraId="06C19240" w14:textId="2161E87F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B144A7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06FB9E5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DD899A0" w14:textId="793B4773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98A8A02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2DD445F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6A223F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4BB96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DED69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26328" w14:textId="43DBF574" w:rsidR="00D5332A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2EA2A75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FB463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FD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B342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D953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C9E083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B85E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D3627" w14:textId="126730B3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kan koordinere og indgå i samarbejdet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om en borgers/patients behov for </w:t>
            </w:r>
            <w:r w:rsidRPr="00982522">
              <w:rPr>
                <w:rFonts w:ascii="Verdana" w:hAnsi="Verdana" w:cs="Calibri"/>
                <w:color w:val="FF0000"/>
                <w:sz w:val="20"/>
                <w:szCs w:val="20"/>
              </w:rPr>
              <w:t>tværprofessionel og tværsektoriel indsats, herunder selvstændigt indlede, afslutte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4F55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Kendskab til andre samarbejdspartnere</w:t>
            </w:r>
          </w:p>
          <w:p w14:paraId="70374F8F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14F41F8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 som fagperson</w:t>
            </w:r>
          </w:p>
          <w:p w14:paraId="746969C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Psykiatriske system</w:t>
            </w:r>
          </w:p>
          <w:p w14:paraId="0B0B25C6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5B4DEC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Tiltag der skaber sammenhæng</w:t>
            </w:r>
          </w:p>
          <w:p w14:paraId="46D3DE9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Sundhedsvæsenets organisering</w:t>
            </w:r>
          </w:p>
          <w:p w14:paraId="4910618A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Akutfunktion primær og sekundær</w:t>
            </w:r>
          </w:p>
          <w:p w14:paraId="147AB49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Sammenhæng mellem sundhedspolitik, serviceniveauer og lokale målsætninger</w:t>
            </w:r>
          </w:p>
          <w:p w14:paraId="426DD274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Nationale mål</w:t>
            </w:r>
          </w:p>
          <w:p w14:paraId="0A2F735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Sundhedsaftaler</w:t>
            </w:r>
          </w:p>
          <w:p w14:paraId="5968000E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Forebyggelige indlæggelser</w:t>
            </w:r>
          </w:p>
          <w:p w14:paraId="05D70F2D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DEF0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27732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1E23EA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F8B274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F6E2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5E14B9F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F1EE5DC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F64ED41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EC9A0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CB9F86F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57C971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7BCFBE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81805A9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4B2A3E20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7CB8519A" w14:textId="77777777" w:rsidTr="006231D9">
        <w:tc>
          <w:tcPr>
            <w:tcW w:w="4942" w:type="dxa"/>
            <w:shd w:val="clear" w:color="auto" w:fill="ED7D31"/>
          </w:tcPr>
          <w:p w14:paraId="2E9E2EB0" w14:textId="698F8ED3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571E058" w14:textId="6960A75C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F21C711" w14:textId="77777777" w:rsidTr="006231D9">
        <w:tc>
          <w:tcPr>
            <w:tcW w:w="4942" w:type="dxa"/>
            <w:shd w:val="clear" w:color="auto" w:fill="auto"/>
          </w:tcPr>
          <w:p w14:paraId="461F85A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56D8C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C7B30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2BA76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C1D31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CAF2F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1FD6D12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339AFE44" w14:textId="77777777" w:rsidTr="006231D9">
        <w:tc>
          <w:tcPr>
            <w:tcW w:w="4942" w:type="dxa"/>
            <w:shd w:val="clear" w:color="auto" w:fill="ED7D31"/>
          </w:tcPr>
          <w:p w14:paraId="1DDE961E" w14:textId="19B10BAD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F31C68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C195809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8A1D5C1" w14:textId="5353293C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39216C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79A3B32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04C3F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2F9EE1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EF292" w14:textId="4E2C74D8" w:rsidR="00D5332A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091C903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4C11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0F4B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8C4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53F8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442202A6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BC79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4B428" w14:textId="414A539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udføre sygepleje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6D9A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Hjælpemidler</w:t>
            </w:r>
          </w:p>
          <w:p w14:paraId="3FB9653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66CD8A1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 - støtte</w:t>
            </w:r>
          </w:p>
          <w:p w14:paraId="58BF76A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 pædagogiske metoder</w:t>
            </w:r>
          </w:p>
          <w:p w14:paraId="44388AB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terapi</w:t>
            </w:r>
          </w:p>
          <w:p w14:paraId="482D527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DC2430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Informationssøgning- digitale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redskaber</w:t>
            </w:r>
          </w:p>
          <w:p w14:paraId="70913CA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Evidensbaseret sygepleje</w:t>
            </w:r>
          </w:p>
          <w:p w14:paraId="0ED1A55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Velfærdsteknologi og hjælpemidler</w:t>
            </w:r>
          </w:p>
          <w:p w14:paraId="1BC0FB6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Innovation </w:t>
            </w:r>
          </w:p>
          <w:p w14:paraId="5579A7D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Telemedicin</w:t>
            </w:r>
          </w:p>
          <w:p w14:paraId="37289B8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Sundhedsteknologi</w:t>
            </w:r>
          </w:p>
          <w:p w14:paraId="2BE35B44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115A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21841E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7A4B7B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52808C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556F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847178D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A5F6ECB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A2A0ACF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D6F5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4D5CCD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1FA18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D84A104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28618798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099A3C6B" w14:textId="77777777" w:rsidTr="006231D9">
        <w:tc>
          <w:tcPr>
            <w:tcW w:w="4942" w:type="dxa"/>
            <w:shd w:val="clear" w:color="auto" w:fill="ED7D31"/>
          </w:tcPr>
          <w:p w14:paraId="409B8AA4" w14:textId="70276B72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A2286CD" w14:textId="67B25F48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7FA84C27" w14:textId="77777777" w:rsidTr="006231D9">
        <w:tc>
          <w:tcPr>
            <w:tcW w:w="4942" w:type="dxa"/>
            <w:shd w:val="clear" w:color="auto" w:fill="auto"/>
          </w:tcPr>
          <w:p w14:paraId="7D0C957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CE995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DEB2B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7A20B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4511D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C9983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CE1DB5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485502A" w14:textId="77777777" w:rsidTr="006231D9">
        <w:tc>
          <w:tcPr>
            <w:tcW w:w="4942" w:type="dxa"/>
            <w:shd w:val="clear" w:color="auto" w:fill="ED7D31"/>
          </w:tcPr>
          <w:p w14:paraId="767E732B" w14:textId="74F94A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C15345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961000D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BC1E0E2" w14:textId="694BAD50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7DCE73D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6D5D7B0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FDE48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01F692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25783" w14:textId="1FD66B52" w:rsidR="00D5332A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5AB3FBC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DF9A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02BC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D3C0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4A9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9D5E02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67F2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90EDA" w14:textId="59B4BA2B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9B8F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UTH</w:t>
            </w:r>
          </w:p>
          <w:p w14:paraId="1A5B990A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TOBS</w:t>
            </w:r>
          </w:p>
          <w:p w14:paraId="470AD12D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077C3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Magtanvendelse- servicelov</w:t>
            </w:r>
          </w:p>
          <w:p w14:paraId="0B3463A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Tvang- psykiatrilov</w:t>
            </w:r>
          </w:p>
          <w:p w14:paraId="73DEECAE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</w:t>
            </w:r>
          </w:p>
          <w:p w14:paraId="4A2ABD3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Brøset (BVC risikovurdering)</w:t>
            </w:r>
          </w:p>
          <w:p w14:paraId="64A9669B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51D225A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05FBF76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Lovgrundlag</w:t>
            </w:r>
          </w:p>
          <w:p w14:paraId="2E4EDB9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  <w:p w14:paraId="224A4FE0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Borgertilfredshed</w:t>
            </w:r>
          </w:p>
          <w:p w14:paraId="17E7041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Kvalitetssikring- metoder og værktøjer</w:t>
            </w:r>
          </w:p>
          <w:p w14:paraId="1493C2CA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Screening og ISBAR</w:t>
            </w:r>
          </w:p>
          <w:p w14:paraId="03A48538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773E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2467ED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57C1B9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53AB5B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9E2C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5CE592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5DFFB9C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C48D53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E9A7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27D37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BE86428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D5729E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3EF2E74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6FBFF1F1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3A42E70D" w14:textId="77777777" w:rsidTr="006231D9">
        <w:tc>
          <w:tcPr>
            <w:tcW w:w="4942" w:type="dxa"/>
            <w:shd w:val="clear" w:color="auto" w:fill="ED7D31"/>
          </w:tcPr>
          <w:p w14:paraId="31B1A9A1" w14:textId="4D05EC5D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–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7C561BB" w14:textId="5916EE20" w:rsidR="006231D9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17 - </w:t>
            </w:r>
            <w:r w:rsidR="006231D9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6231D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712D4FE7" w14:textId="77777777" w:rsidTr="006231D9">
        <w:tc>
          <w:tcPr>
            <w:tcW w:w="4942" w:type="dxa"/>
            <w:shd w:val="clear" w:color="auto" w:fill="auto"/>
          </w:tcPr>
          <w:p w14:paraId="33A6A654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47BEB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6CDA1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F742C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C99C6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8188D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56B51C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1A32D70" w14:textId="77777777" w:rsidTr="006231D9">
        <w:tc>
          <w:tcPr>
            <w:tcW w:w="4942" w:type="dxa"/>
            <w:shd w:val="clear" w:color="auto" w:fill="ED7D31"/>
          </w:tcPr>
          <w:p w14:paraId="725F407C" w14:textId="03EFDC8F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B39C0B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C12C5F3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567432F" w14:textId="2740F830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58955B0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0A92531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D4E5006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4A3FD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113FCE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AC5AB" w14:textId="57C724AA" w:rsidR="00D5332A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71DE2C7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C37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FAB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88CF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5933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F2D92C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0A6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F087C" w14:textId="005225D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forholde sig kritisk til og understøtte udvikling af et godt 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7BD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Arbejdsmiljø</w:t>
            </w:r>
          </w:p>
          <w:p w14:paraId="780C346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0742483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4D8BA2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596A13AD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581C5D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kriseberedskab</w:t>
            </w:r>
          </w:p>
          <w:p w14:paraId="6E8EA0F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stresshåndtering</w:t>
            </w:r>
          </w:p>
          <w:p w14:paraId="70C20CD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F74016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</w:t>
            </w:r>
          </w:p>
          <w:p w14:paraId="0066B02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Certificering</w:t>
            </w:r>
          </w:p>
          <w:p w14:paraId="7E80729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Ergonomi </w:t>
            </w:r>
          </w:p>
          <w:p w14:paraId="20B86A44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Det normale bevægemønster </w:t>
            </w:r>
          </w:p>
          <w:p w14:paraId="5DD1741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ABC-konceptet</w:t>
            </w:r>
          </w:p>
          <w:p w14:paraId="47606C54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8ACA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874703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601B6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AD1F23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4FF78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90964E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86FCDB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435199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42288D9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8B702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9C1C130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91D12C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B66029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37DE100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047CD586" w14:textId="77777777" w:rsidR="00F86838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F86838" w14:paraId="72571619" w14:textId="77777777" w:rsidTr="00F86838">
        <w:tc>
          <w:tcPr>
            <w:tcW w:w="4942" w:type="dxa"/>
            <w:shd w:val="clear" w:color="auto" w:fill="ED7D31"/>
          </w:tcPr>
          <w:p w14:paraId="4418390A" w14:textId="78FFFFD5" w:rsidR="00F86838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– </w:t>
            </w:r>
            <w:r w:rsidR="00F8683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05119C9" w14:textId="652E8C2B" w:rsidR="00F86838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18 - </w:t>
            </w:r>
            <w:r w:rsidR="00F8683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F86838" w14:paraId="7E07469E" w14:textId="77777777" w:rsidTr="00F86838">
        <w:tc>
          <w:tcPr>
            <w:tcW w:w="4942" w:type="dxa"/>
            <w:shd w:val="clear" w:color="auto" w:fill="auto"/>
          </w:tcPr>
          <w:p w14:paraId="11F7B472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D23A86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1C20F7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2967FE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8740F6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6D3CDFF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692850E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6838" w14:paraId="087ABE59" w14:textId="77777777" w:rsidTr="00F86838">
        <w:tc>
          <w:tcPr>
            <w:tcW w:w="4942" w:type="dxa"/>
            <w:shd w:val="clear" w:color="auto" w:fill="ED7D31"/>
          </w:tcPr>
          <w:p w14:paraId="782D281C" w14:textId="15385CDB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768BF2B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7E51B32" w14:textId="77777777" w:rsidR="00F86838" w:rsidRDefault="00F86838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D60CC4D" w14:textId="5B513636" w:rsidR="00D5332A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58A8548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8EC38B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7F6C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E33A93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F1978" w14:textId="26B54A1B" w:rsidR="00D5332A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F86838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55B0C18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CFC9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3B8B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2792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DE4B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2E4475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998F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DB0DD" w14:textId="6290FFFF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følger arbejdet som professionel sundhedsperson, fx forhold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som tavshedspligt, magtanvendelse, patientrettigheder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018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tavshedspligt og patientrettigheder</w:t>
            </w:r>
          </w:p>
          <w:p w14:paraId="2E02597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B2EA6E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37C6F8F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 lov</w:t>
            </w:r>
          </w:p>
          <w:p w14:paraId="6749E2E9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</w:p>
          <w:p w14:paraId="1892F3E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Livsformer</w:t>
            </w:r>
          </w:p>
          <w:p w14:paraId="58A427B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</w:t>
            </w:r>
          </w:p>
          <w:p w14:paraId="2C9514F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Hverdagsliv</w:t>
            </w:r>
          </w:p>
          <w:p w14:paraId="6E520E03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F0717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0F3DBD1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Lovgrundlag</w:t>
            </w:r>
          </w:p>
          <w:p w14:paraId="4E8D0E6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  <w:p w14:paraId="146E4B7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Borgertilfredshed</w:t>
            </w:r>
          </w:p>
          <w:p w14:paraId="66525ACA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1DE9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B73F25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A25882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CE5A94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D091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71865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E3B796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AAE590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A7C92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AA9BFC2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D2E63B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7B384EC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FF22BB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45127F5E" w14:textId="77777777" w:rsidR="00F86838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F86838" w14:paraId="424D7B2B" w14:textId="77777777" w:rsidTr="00F86838">
        <w:tc>
          <w:tcPr>
            <w:tcW w:w="4942" w:type="dxa"/>
            <w:shd w:val="clear" w:color="auto" w:fill="ED7D31"/>
          </w:tcPr>
          <w:p w14:paraId="71AD1562" w14:textId="61577E78" w:rsidR="00F86838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– </w:t>
            </w:r>
            <w:r w:rsidR="00F8683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81A4172" w14:textId="154FAD54" w:rsidR="00F86838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19 - </w:t>
            </w:r>
            <w:r w:rsidR="00F8683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F86838" w14:paraId="014F779B" w14:textId="77777777" w:rsidTr="00F86838">
        <w:tc>
          <w:tcPr>
            <w:tcW w:w="4942" w:type="dxa"/>
            <w:shd w:val="clear" w:color="auto" w:fill="auto"/>
          </w:tcPr>
          <w:p w14:paraId="317B08C6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0C59D6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CDF52A3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7226A2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40F297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A74740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6652529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6838" w14:paraId="2E463B07" w14:textId="77777777" w:rsidTr="00F86838">
        <w:tc>
          <w:tcPr>
            <w:tcW w:w="4942" w:type="dxa"/>
            <w:shd w:val="clear" w:color="auto" w:fill="ED7D31"/>
          </w:tcPr>
          <w:p w14:paraId="60AC2363" w14:textId="57DBE0C9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6D68201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7534D24" w14:textId="77777777" w:rsidR="00F86838" w:rsidRDefault="00F86838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9E9434C" w14:textId="31C33080" w:rsidR="00D5332A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4C7A99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60656E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16CFA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97EA75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E65307" w14:textId="4D152524" w:rsidR="00D5332A" w:rsidRDefault="00DF3AA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F86838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610C03A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48B1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8A3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3542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04B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C56012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062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8B471" w14:textId="52B2F60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47CF2D7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7210F7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6F0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6299BDC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F114BA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1590753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1EDFBF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01E776D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27C7D11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37ADC3F7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043AC54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Psykiatrilov</w:t>
            </w:r>
          </w:p>
          <w:p w14:paraId="5F36E4EF" w14:textId="77777777" w:rsidR="00D669A4" w:rsidRDefault="00D669A4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57F99D88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Delegation</w:t>
            </w:r>
          </w:p>
          <w:p w14:paraId="1E1D5C2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Pligter og rettigheder som autoriseret sundhedsperson- databehandling</w:t>
            </w:r>
          </w:p>
          <w:p w14:paraId="6764ED4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social- og sundhedsassistentens praksis</w:t>
            </w:r>
          </w:p>
          <w:p w14:paraId="25F09876" w14:textId="77777777" w:rsidR="00D669A4" w:rsidRDefault="00D669A4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1A15B98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ABD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5D1C67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B853A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96EB20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131A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6C9BAF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416688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AB4D1D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E40ECA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80678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9BCEE14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064FDA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D324F30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E14BAFB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5FD45D4" w14:textId="77777777" w:rsidR="00F86838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F86838" w14:paraId="5B88E179" w14:textId="77777777" w:rsidTr="00F86838">
        <w:tc>
          <w:tcPr>
            <w:tcW w:w="4942" w:type="dxa"/>
            <w:shd w:val="clear" w:color="auto" w:fill="ED7D31"/>
          </w:tcPr>
          <w:p w14:paraId="306CA5D1" w14:textId="64FAC481" w:rsidR="00F86838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– </w:t>
            </w:r>
            <w:r w:rsidR="00F8683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322078F" w14:textId="66C84817" w:rsidR="00F86838" w:rsidRPr="007A3D48" w:rsidRDefault="00DF3AAC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20 - </w:t>
            </w:r>
            <w:r w:rsidR="00F8683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F868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F86838" w14:paraId="564BB5D6" w14:textId="77777777" w:rsidTr="00F86838">
        <w:tc>
          <w:tcPr>
            <w:tcW w:w="4942" w:type="dxa"/>
            <w:shd w:val="clear" w:color="auto" w:fill="auto"/>
          </w:tcPr>
          <w:p w14:paraId="2D3EC7B5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80420B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72914A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3C8FF0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6AABAE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48DC3E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C3632E7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6838" w14:paraId="7AD0EABA" w14:textId="77777777" w:rsidTr="00F86838">
        <w:tc>
          <w:tcPr>
            <w:tcW w:w="4942" w:type="dxa"/>
            <w:shd w:val="clear" w:color="auto" w:fill="ED7D31"/>
          </w:tcPr>
          <w:p w14:paraId="318BBE7E" w14:textId="29030D8A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F3AAC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917A2E4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BC9E2F9" w14:textId="77777777" w:rsidR="00F86838" w:rsidRDefault="00F86838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269B015" w14:textId="4B15389B" w:rsidR="00D5332A" w:rsidRDefault="00D5332A" w:rsidP="00F86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9518FA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1EC18B3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38"/>
      </w:tblGrid>
      <w:tr w:rsidR="0070015F" w14:paraId="7909E0EE" w14:textId="77777777" w:rsidTr="0070015F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C3164" w14:textId="55E12F82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Status ved afslutning af </w:t>
            </w:r>
            <w:r w:rsidR="0068524B">
              <w:rPr>
                <w:rFonts w:ascii="Calibri" w:hAnsi="Calibri" w:cs="Calibri"/>
                <w:sz w:val="22"/>
                <w:szCs w:val="22"/>
              </w:rPr>
              <w:t>oplæringsforløbet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som supplement til ovenstående hjælpeskema.</w:t>
            </w:r>
          </w:p>
          <w:p w14:paraId="0C7FA32C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Relevante informationer til næste skoleperiode,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3914C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0015F" w14:paraId="425E4EDB" w14:textId="77777777" w:rsidTr="0070015F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FFE1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Faglige kompetencer</w:t>
            </w:r>
          </w:p>
          <w:p w14:paraId="26930021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7078BDF7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631C8D9C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597194A1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755FC119" w14:textId="77777777" w:rsidR="0070015F" w:rsidRDefault="0070015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7FC966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7040AB1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1AE7B1" w14:textId="77777777" w:rsidR="0070015F" w:rsidRDefault="0070015F" w:rsidP="0070015F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sectPr w:rsidR="00700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890"/>
    <w:multiLevelType w:val="multilevel"/>
    <w:tmpl w:val="A58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18"/>
    <w:rsid w:val="000203EF"/>
    <w:rsid w:val="000F0CDC"/>
    <w:rsid w:val="001C2A60"/>
    <w:rsid w:val="001D1933"/>
    <w:rsid w:val="00257461"/>
    <w:rsid w:val="0034477B"/>
    <w:rsid w:val="003D7E0C"/>
    <w:rsid w:val="00416BF8"/>
    <w:rsid w:val="00427A14"/>
    <w:rsid w:val="00596A18"/>
    <w:rsid w:val="006231D9"/>
    <w:rsid w:val="00660B21"/>
    <w:rsid w:val="0068524B"/>
    <w:rsid w:val="006A4889"/>
    <w:rsid w:val="0070015F"/>
    <w:rsid w:val="00725A6C"/>
    <w:rsid w:val="007A3D48"/>
    <w:rsid w:val="007B2884"/>
    <w:rsid w:val="007E7D60"/>
    <w:rsid w:val="00831002"/>
    <w:rsid w:val="00982522"/>
    <w:rsid w:val="00A90C0B"/>
    <w:rsid w:val="00BC2CD8"/>
    <w:rsid w:val="00CF29FD"/>
    <w:rsid w:val="00D5332A"/>
    <w:rsid w:val="00D603CC"/>
    <w:rsid w:val="00D669A4"/>
    <w:rsid w:val="00DF3AAC"/>
    <w:rsid w:val="00ED766C"/>
    <w:rsid w:val="00F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1CBBD"/>
  <w15:chartTrackingRefBased/>
  <w15:docId w15:val="{16615C18-710E-4930-8759-D580F951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23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2347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5</cp:revision>
  <dcterms:created xsi:type="dcterms:W3CDTF">2021-11-09T13:41:00Z</dcterms:created>
  <dcterms:modified xsi:type="dcterms:W3CDTF">2022-07-05T10:50:00Z</dcterms:modified>
</cp:coreProperties>
</file>