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65E9" w14:textId="17D950A3" w:rsidR="00BC2CD8" w:rsidRDefault="00F76C68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Oplæringsmål</w:t>
      </w:r>
      <w:r w:rsidR="00BC2CD8">
        <w:rPr>
          <w:rFonts w:ascii="Calibri Light" w:hAnsi="Calibri Light" w:cs="Calibri Light"/>
          <w:sz w:val="40"/>
          <w:szCs w:val="40"/>
        </w:rPr>
        <w:t xml:space="preserve"> -hjælpeskema</w:t>
      </w:r>
    </w:p>
    <w:p w14:paraId="36056839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87C359E" w14:textId="2BC21FE5" w:rsidR="003D7E0C" w:rsidRDefault="00F76C68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Oplæring</w:t>
      </w:r>
      <w:r w:rsidR="003D7E0C">
        <w:rPr>
          <w:rFonts w:ascii="Verdana" w:hAnsi="Verdana" w:cs="Calibri"/>
          <w:b/>
          <w:bCs/>
          <w:sz w:val="22"/>
          <w:szCs w:val="22"/>
        </w:rPr>
        <w:t xml:space="preserve"> 2 – Psykiatrisk sygepleje og rehabilitering i det sammenhængende sundhedsvæsen.</w:t>
      </w:r>
      <w:r w:rsidR="003D7E0C">
        <w:rPr>
          <w:rFonts w:ascii="Verdana" w:hAnsi="Verdana" w:cs="Calibri"/>
          <w:sz w:val="22"/>
          <w:szCs w:val="22"/>
        </w:rPr>
        <w:t xml:space="preserve">  </w:t>
      </w:r>
    </w:p>
    <w:p w14:paraId="202198E3" w14:textId="77777777" w:rsidR="003D7E0C" w:rsidRDefault="003D7E0C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43F2EF91" w14:textId="2DF64AB3" w:rsidR="003D7E0C" w:rsidRDefault="003D7E0C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Hjælpeskemaet anvendes i alle </w:t>
      </w:r>
      <w:r w:rsidR="006047E1">
        <w:rPr>
          <w:rFonts w:ascii="Verdana" w:hAnsi="Verdana" w:cs="Calibri"/>
          <w:sz w:val="22"/>
          <w:szCs w:val="22"/>
        </w:rPr>
        <w:t>oplæringsforløb</w:t>
      </w:r>
      <w:r>
        <w:rPr>
          <w:rFonts w:ascii="Verdana" w:hAnsi="Verdana" w:cs="Calibri"/>
          <w:sz w:val="22"/>
          <w:szCs w:val="22"/>
        </w:rPr>
        <w:t xml:space="preserve">, og anvendes løbende af elev og vejleder i </w:t>
      </w:r>
      <w:r w:rsidR="00F76C68">
        <w:rPr>
          <w:rFonts w:ascii="Verdana" w:hAnsi="Verdana" w:cs="Calibri"/>
          <w:sz w:val="22"/>
          <w:szCs w:val="22"/>
        </w:rPr>
        <w:t>oplæringe</w:t>
      </w:r>
      <w:r>
        <w:rPr>
          <w:rFonts w:ascii="Verdana" w:hAnsi="Verdana" w:cs="Calibri"/>
          <w:sz w:val="22"/>
          <w:szCs w:val="22"/>
        </w:rPr>
        <w:t>n.</w:t>
      </w:r>
    </w:p>
    <w:p w14:paraId="59DD62DE" w14:textId="77777777" w:rsidR="003D7E0C" w:rsidRDefault="003D7E0C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1D26CCA5" w14:textId="7D8367EB" w:rsidR="003466AE" w:rsidRPr="00B74C8A" w:rsidRDefault="003D7E0C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I slutningen af </w:t>
      </w:r>
      <w:r w:rsidR="00F76C68">
        <w:rPr>
          <w:rFonts w:ascii="Verdana" w:hAnsi="Verdana" w:cs="Calibri"/>
          <w:sz w:val="22"/>
          <w:szCs w:val="22"/>
        </w:rPr>
        <w:t>oplæring</w:t>
      </w:r>
      <w:r>
        <w:rPr>
          <w:rFonts w:ascii="Verdana" w:hAnsi="Verdana" w:cs="Calibri"/>
          <w:sz w:val="22"/>
          <w:szCs w:val="22"/>
        </w:rPr>
        <w:t xml:space="preserve"> 2 </w:t>
      </w:r>
      <w:r>
        <w:rPr>
          <w:rFonts w:ascii="Verdana" w:hAnsi="Verdana" w:cs="Calibri"/>
          <w:b/>
          <w:bCs/>
          <w:sz w:val="22"/>
          <w:szCs w:val="22"/>
          <w:u w:val="single"/>
        </w:rPr>
        <w:t>bedømmer</w:t>
      </w:r>
      <w:r>
        <w:rPr>
          <w:rFonts w:ascii="Verdana" w:hAnsi="Verdana" w:cs="Calibri"/>
          <w:sz w:val="22"/>
          <w:szCs w:val="22"/>
        </w:rPr>
        <w:t xml:space="preserve"> </w:t>
      </w:r>
      <w:r w:rsidR="00F76C68">
        <w:rPr>
          <w:rFonts w:ascii="Verdana" w:hAnsi="Verdana" w:cs="Calibri"/>
          <w:sz w:val="22"/>
          <w:szCs w:val="22"/>
        </w:rPr>
        <w:t>oplærings</w:t>
      </w:r>
      <w:r>
        <w:rPr>
          <w:rFonts w:ascii="Verdana" w:hAnsi="Verdana" w:cs="Calibri"/>
          <w:sz w:val="22"/>
          <w:szCs w:val="22"/>
        </w:rPr>
        <w:t xml:space="preserve">vejlederen om </w:t>
      </w:r>
      <w:r w:rsidR="006047E1">
        <w:rPr>
          <w:rFonts w:ascii="Verdana" w:hAnsi="Verdana" w:cs="Calibri"/>
          <w:sz w:val="22"/>
          <w:szCs w:val="22"/>
        </w:rPr>
        <w:t>oplæringsforløbe</w:t>
      </w:r>
      <w:r>
        <w:rPr>
          <w:rFonts w:ascii="Verdana" w:hAnsi="Verdana" w:cs="Calibri"/>
          <w:sz w:val="22"/>
          <w:szCs w:val="22"/>
        </w:rPr>
        <w:t>n</w:t>
      </w:r>
      <w:r w:rsidR="006047E1">
        <w:rPr>
          <w:rFonts w:ascii="Verdana" w:hAnsi="Verdana" w:cs="Calibri"/>
          <w:sz w:val="22"/>
          <w:szCs w:val="22"/>
        </w:rPr>
        <w:t>e</w:t>
      </w:r>
      <w:r>
        <w:rPr>
          <w:rFonts w:ascii="Verdana" w:hAnsi="Verdana" w:cs="Calibri"/>
          <w:sz w:val="22"/>
          <w:szCs w:val="22"/>
        </w:rPr>
        <w:t xml:space="preserve"> er godkendt eller ikke godkendt. </w:t>
      </w:r>
      <w:r w:rsidR="003466AE" w:rsidRPr="00B74C8A">
        <w:rPr>
          <w:rFonts w:ascii="Verdana" w:hAnsi="Verdana" w:cs="Calibri"/>
          <w:sz w:val="22"/>
          <w:szCs w:val="22"/>
        </w:rPr>
        <w:t xml:space="preserve">(Dette gøres ved hjælp af </w:t>
      </w:r>
      <w:r w:rsidR="00F76C68">
        <w:rPr>
          <w:rFonts w:ascii="Verdana" w:hAnsi="Verdana" w:cs="Calibri"/>
          <w:sz w:val="22"/>
          <w:szCs w:val="22"/>
        </w:rPr>
        <w:t>oplærings</w:t>
      </w:r>
      <w:r w:rsidR="003466AE" w:rsidRPr="00B74C8A">
        <w:rPr>
          <w:rFonts w:ascii="Verdana" w:hAnsi="Verdana" w:cs="Calibri"/>
          <w:sz w:val="22"/>
          <w:szCs w:val="22"/>
        </w:rPr>
        <w:t xml:space="preserve">erklæring via </w:t>
      </w:r>
      <w:proofErr w:type="spellStart"/>
      <w:r w:rsidR="003466AE" w:rsidRPr="00B74C8A">
        <w:rPr>
          <w:rFonts w:ascii="Verdana" w:hAnsi="Verdana" w:cs="Calibri"/>
          <w:sz w:val="22"/>
          <w:szCs w:val="22"/>
        </w:rPr>
        <w:t>SEVUs</w:t>
      </w:r>
      <w:proofErr w:type="spellEnd"/>
      <w:r w:rsidR="003466AE" w:rsidRPr="00B74C8A">
        <w:rPr>
          <w:rFonts w:ascii="Verdana" w:hAnsi="Verdana" w:cs="Calibri"/>
          <w:sz w:val="22"/>
          <w:szCs w:val="22"/>
        </w:rPr>
        <w:t xml:space="preserve"> hjemmeside: </w:t>
      </w:r>
      <w:hyperlink r:id="rId5" w:history="1">
        <w:r w:rsidR="003466AE" w:rsidRPr="00B74C8A">
          <w:rPr>
            <w:rStyle w:val="Hyperlink"/>
            <w:rFonts w:ascii="Verdana" w:hAnsi="Verdana"/>
          </w:rPr>
          <w:t xml:space="preserve">Social- og sundhedsassistent - Alt om </w:t>
        </w:r>
        <w:r w:rsidR="00F76C68">
          <w:rPr>
            <w:rStyle w:val="Hyperlink"/>
            <w:rFonts w:ascii="Verdana" w:hAnsi="Verdana"/>
          </w:rPr>
          <w:t>oplæring</w:t>
        </w:r>
        <w:r w:rsidR="003466AE" w:rsidRPr="00B74C8A">
          <w:rPr>
            <w:rStyle w:val="Hyperlink"/>
            <w:rFonts w:ascii="Verdana" w:hAnsi="Verdana"/>
          </w:rPr>
          <w:t xml:space="preserve"> | SEVU</w:t>
        </w:r>
      </w:hyperlink>
      <w:r w:rsidR="003466AE" w:rsidRPr="00B74C8A">
        <w:rPr>
          <w:rFonts w:ascii="Verdana" w:hAnsi="Verdana" w:cs="Calibri"/>
          <w:sz w:val="22"/>
          <w:szCs w:val="22"/>
        </w:rPr>
        <w:t>).</w:t>
      </w:r>
    </w:p>
    <w:p w14:paraId="7485A24A" w14:textId="77777777" w:rsidR="003466AE" w:rsidRPr="00B74C8A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B74C8A">
        <w:rPr>
          <w:rFonts w:ascii="Verdana" w:hAnsi="Verdana" w:cs="Calibri"/>
          <w:sz w:val="22"/>
          <w:szCs w:val="22"/>
        </w:rPr>
        <w:t xml:space="preserve">Se i øvrigt kompetencemål for SSA her: </w:t>
      </w:r>
      <w:hyperlink r:id="rId6" w:history="1">
        <w:r w:rsidRPr="00B74C8A">
          <w:rPr>
            <w:rStyle w:val="Hyperlink"/>
            <w:rFonts w:ascii="Verdana" w:hAnsi="Verdana"/>
          </w:rPr>
          <w:t>Bekendtgørelse om erhvervsuddannelsen til social- og sundhedsassistent (retsinformation.dk)</w:t>
        </w:r>
      </w:hyperlink>
      <w:r w:rsidRPr="00B74C8A">
        <w:rPr>
          <w:rFonts w:ascii="Verdana" w:hAnsi="Verdana"/>
        </w:rPr>
        <w:t xml:space="preserve"> §4</w:t>
      </w:r>
    </w:p>
    <w:p w14:paraId="45AFF49B" w14:textId="77777777" w:rsidR="003D7E0C" w:rsidRDefault="003D7E0C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0A47C4BD" w14:textId="77777777" w:rsidR="003D7E0C" w:rsidRDefault="003D7E0C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For uddybning af ovenstående, se "Evaluering, vurdering og bedømmelse" i "</w:t>
      </w:r>
      <w:proofErr w:type="spellStart"/>
      <w:r>
        <w:rPr>
          <w:rFonts w:ascii="Verdana" w:hAnsi="Verdana" w:cs="Calibri"/>
          <w:sz w:val="22"/>
          <w:szCs w:val="22"/>
        </w:rPr>
        <w:t>Generelt"-sektionen</w:t>
      </w:r>
      <w:proofErr w:type="spellEnd"/>
      <w:r>
        <w:rPr>
          <w:rFonts w:ascii="Verdana" w:hAnsi="Verdana" w:cs="Calibri"/>
          <w:sz w:val="22"/>
          <w:szCs w:val="22"/>
        </w:rPr>
        <w:t>.</w:t>
      </w:r>
    </w:p>
    <w:p w14:paraId="7E5345BF" w14:textId="77777777" w:rsidR="003D7E0C" w:rsidRDefault="003D7E0C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5BA7AE57" w14:textId="562D4FCA" w:rsidR="003D7E0C" w:rsidRDefault="003D7E0C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Den </w:t>
      </w:r>
      <w:r>
        <w:rPr>
          <w:rFonts w:ascii="Verdana" w:hAnsi="Verdana" w:cs="Calibri"/>
          <w:b/>
          <w:bCs/>
          <w:color w:val="FF0000"/>
          <w:sz w:val="22"/>
          <w:szCs w:val="22"/>
        </w:rPr>
        <w:t>røde</w:t>
      </w:r>
      <w:r>
        <w:rPr>
          <w:rFonts w:ascii="Verdana" w:hAnsi="Verdana" w:cs="Calibri"/>
          <w:sz w:val="22"/>
          <w:szCs w:val="22"/>
        </w:rPr>
        <w:t xml:space="preserve"> markering i </w:t>
      </w:r>
      <w:r w:rsidR="00F76C68">
        <w:rPr>
          <w:rFonts w:ascii="Verdana" w:hAnsi="Verdana" w:cs="Calibri"/>
          <w:sz w:val="22"/>
          <w:szCs w:val="22"/>
        </w:rPr>
        <w:t>oplæringsmål</w:t>
      </w:r>
      <w:r>
        <w:rPr>
          <w:rFonts w:ascii="Verdana" w:hAnsi="Verdana" w:cs="Calibri"/>
          <w:sz w:val="22"/>
          <w:szCs w:val="22"/>
        </w:rPr>
        <w:t>et fremhæver det, der er særligt i fokus</w:t>
      </w:r>
    </w:p>
    <w:p w14:paraId="4AD8267B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61492595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E33AA5B" w14:textId="1A7E529B" w:rsidR="00D603CC" w:rsidRDefault="00F76C68">
      <w:pPr>
        <w:pStyle w:val="NormalWeb"/>
        <w:spacing w:before="0" w:beforeAutospacing="0" w:after="160" w:afterAutospacing="0"/>
        <w:rPr>
          <w:rFonts w:ascii="Verdana" w:hAnsi="Verdana" w:cs="Calibri"/>
          <w:b/>
          <w:bCs/>
          <w:sz w:val="28"/>
          <w:szCs w:val="28"/>
        </w:rPr>
      </w:pPr>
      <w:r>
        <w:rPr>
          <w:rFonts w:ascii="Verdana" w:hAnsi="Verdana" w:cs="Calibri"/>
          <w:b/>
          <w:bCs/>
          <w:sz w:val="36"/>
          <w:szCs w:val="36"/>
        </w:rPr>
        <w:t>Oplæring</w:t>
      </w:r>
      <w:r w:rsidR="00BC2CD8">
        <w:rPr>
          <w:rFonts w:ascii="Verdana" w:hAnsi="Verdana" w:cs="Calibri"/>
          <w:b/>
          <w:bCs/>
          <w:sz w:val="36"/>
          <w:szCs w:val="36"/>
        </w:rPr>
        <w:t xml:space="preserve"> </w:t>
      </w:r>
      <w:r w:rsidR="003D7E0C">
        <w:rPr>
          <w:rFonts w:ascii="Verdana" w:hAnsi="Verdana" w:cs="Calibri"/>
          <w:b/>
          <w:bCs/>
          <w:sz w:val="36"/>
          <w:szCs w:val="36"/>
        </w:rPr>
        <w:t>2</w:t>
      </w:r>
      <w:r w:rsidR="00BC2CD8">
        <w:rPr>
          <w:rFonts w:ascii="Verdana" w:hAnsi="Verdana" w:cs="Calibri"/>
          <w:sz w:val="22"/>
          <w:szCs w:val="22"/>
        </w:rPr>
        <w:t xml:space="preserve">                   </w:t>
      </w:r>
      <w:r w:rsidR="0034477B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 w:rsidR="00BC2CD8">
        <w:rPr>
          <w:rFonts w:ascii="Verdana" w:hAnsi="Verdana" w:cs="Calibri"/>
          <w:b/>
          <w:bCs/>
          <w:sz w:val="28"/>
          <w:szCs w:val="28"/>
        </w:rPr>
        <w:t xml:space="preserve"> Forventet niveau</w:t>
      </w:r>
    </w:p>
    <w:p w14:paraId="2F1B4E1C" w14:textId="77777777" w:rsidR="00BC2CD8" w:rsidRPr="00E850CD" w:rsidRDefault="00D603CC" w:rsidP="00D603CC">
      <w:pPr>
        <w:pStyle w:val="NormalWeb"/>
        <w:spacing w:before="0" w:beforeAutospacing="0" w:after="160" w:afterAutospacing="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 w:rsidRPr="00D603CC">
        <w:rPr>
          <w:rFonts w:ascii="Verdana" w:hAnsi="Verdana" w:cs="Calibri"/>
          <w:sz w:val="16"/>
          <w:szCs w:val="16"/>
        </w:rPr>
        <w:tab/>
      </w:r>
      <w:r w:rsidRPr="00E850CD">
        <w:rPr>
          <w:rFonts w:ascii="Verdana" w:hAnsi="Verdana" w:cs="Calibri"/>
          <w:b/>
          <w:bCs/>
          <w:sz w:val="16"/>
          <w:szCs w:val="16"/>
        </w:rPr>
        <w:t>(B=begynder, R= rutineret, A= avanceret)</w:t>
      </w:r>
      <w:r w:rsidR="00BC2CD8" w:rsidRPr="00E850CD">
        <w:rPr>
          <w:rFonts w:ascii="Verdana" w:hAnsi="Verdana" w:cs="Calibri"/>
          <w:b/>
          <w:bCs/>
          <w:sz w:val="16"/>
          <w:szCs w:val="16"/>
        </w:rPr>
        <w:t xml:space="preserve">   </w:t>
      </w:r>
    </w:p>
    <w:p w14:paraId="459054F9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603CC" w14:paraId="5215472E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8B544" w14:textId="77777777" w:rsidR="00D603CC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7EEBF41" w14:textId="77777777" w:rsidR="00D603CC" w:rsidRPr="00596A18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2BFA61" w14:textId="6DAD0CF9" w:rsidR="00D603CC" w:rsidRDefault="00F76C6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</w:t>
            </w:r>
          </w:p>
          <w:p w14:paraId="0B3125F2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96C0F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036FA9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DF9C1C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749F6F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603CC" w14:paraId="1BDDDDD8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89218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1, 2, 4, 6, 11, 13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E96928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gennemføre og reflektere over kliniske sygeplejehandlinger, herunder selvstændigt anvende sygeplejeprocessen til at indsamle data, identificere, analysere, planlægge, udføre og evaluere sygepleje til borgere/patienter med grundlæggende behov. </w:t>
            </w:r>
          </w:p>
          <w:p w14:paraId="7273CD1D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5F90CA78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454F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 12 sygeplejefaglige problemområder</w:t>
            </w:r>
          </w:p>
          <w:p w14:paraId="312BFC0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Sygeplejeteorier Orlando, Henderson,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Orem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og Martinsen</w:t>
            </w:r>
          </w:p>
          <w:p w14:paraId="7F70FEF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CF178A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Fordøjelse, udskillelse og ernæring</w:t>
            </w:r>
          </w:p>
          <w:p w14:paraId="46AEB0D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Gerontologi og hjertekredsløb</w:t>
            </w:r>
          </w:p>
          <w:p w14:paraId="36C383A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Hormonsystemet</w:t>
            </w:r>
          </w:p>
          <w:p w14:paraId="059E32B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Nyrer - urinveje</w:t>
            </w:r>
          </w:p>
          <w:p w14:paraId="210CBE9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Respirationsorganerne</w:t>
            </w:r>
          </w:p>
          <w:p w14:paraId="00F9A45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Nervesystemet</w:t>
            </w:r>
          </w:p>
          <w:p w14:paraId="0421870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544E11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E7C2FB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 af borgere med psykiatrisk diagnose inkl. demens</w:t>
            </w:r>
          </w:p>
          <w:p w14:paraId="4D40544F" w14:textId="77777777" w:rsidR="00D603CC" w:rsidRPr="00596A18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EF4741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18D4B86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4973563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7E7EB69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EE9D2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39CEC7D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6295107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A163650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12E5A73" w14:textId="77777777" w:rsidR="00D603CC" w:rsidRPr="00596A18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0E13E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9946489" w14:textId="77777777" w:rsidR="003466AE" w:rsidRDefault="00BC2CD8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00BE2C49" w14:textId="77777777" w:rsidTr="003466AE">
        <w:tc>
          <w:tcPr>
            <w:tcW w:w="4942" w:type="dxa"/>
            <w:shd w:val="clear" w:color="auto" w:fill="ED7D31"/>
          </w:tcPr>
          <w:p w14:paraId="3CE1B708" w14:textId="43F6E486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A3790E3" w14:textId="16BDEF54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42B0C094" w14:textId="77777777" w:rsidTr="003466AE">
        <w:tc>
          <w:tcPr>
            <w:tcW w:w="4942" w:type="dxa"/>
            <w:shd w:val="clear" w:color="auto" w:fill="auto"/>
          </w:tcPr>
          <w:p w14:paraId="1AB59B8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41B531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74EA92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FBC039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AE2FAE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0BFF5C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F441A4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6229BA6D" w14:textId="77777777" w:rsidTr="003466AE">
        <w:tc>
          <w:tcPr>
            <w:tcW w:w="4942" w:type="dxa"/>
            <w:shd w:val="clear" w:color="auto" w:fill="ED7D31"/>
          </w:tcPr>
          <w:p w14:paraId="11D8BCBE" w14:textId="1DE81E9D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2CD89B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5E1CC39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264A4BC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A10AE38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AF654F9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85FCE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F8023E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EF684" w14:textId="1727E6C7" w:rsidR="007B2884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2</w:t>
            </w:r>
          </w:p>
          <w:p w14:paraId="2774015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53DB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FCF1F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B66D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47B2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66BC66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26B66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1, 4, 11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FDD6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color w:val="FF0000"/>
                <w:sz w:val="20"/>
                <w:szCs w:val="20"/>
              </w:rPr>
              <w:t>Eleven kan planlægge og iværksætte sundhedsfaglige handlinger på baggrund af faglige og kliniske vurderinger, herunder sundhedsstyrelsens screeningsværktøjer til tidlig opsporing samt lokale procedurer og retningslinjer.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0E9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Ernæringsscreening</w:t>
            </w:r>
          </w:p>
          <w:p w14:paraId="3D36430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Søge information på sundhedsstyrelsens hjemmeside</w:t>
            </w:r>
          </w:p>
          <w:p w14:paraId="65B61A8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625066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TOBS og dokumentation</w:t>
            </w:r>
          </w:p>
          <w:p w14:paraId="2573C1A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4D9503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Socialpædagogisk tilgang og metoder</w:t>
            </w:r>
          </w:p>
          <w:p w14:paraId="7FE7A71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503393C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79F1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A5E3B2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C0FF0D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A96CE8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7EF9BF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03FFE43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20A1D1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909EF03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D233E21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32B2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FA7E0BF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0F4F8A8D" w14:textId="77777777" w:rsidTr="003466AE">
        <w:tc>
          <w:tcPr>
            <w:tcW w:w="4942" w:type="dxa"/>
            <w:shd w:val="clear" w:color="auto" w:fill="ED7D31"/>
          </w:tcPr>
          <w:p w14:paraId="3665CC1D" w14:textId="06B5BBA8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A544E5F" w14:textId="0AFB8A3F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24DD7936" w14:textId="77777777" w:rsidTr="003466AE">
        <w:tc>
          <w:tcPr>
            <w:tcW w:w="4942" w:type="dxa"/>
            <w:shd w:val="clear" w:color="auto" w:fill="auto"/>
          </w:tcPr>
          <w:p w14:paraId="7982F66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033833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3DBF0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D5640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F6B322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6F618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1FC3DD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06BACAD4" w14:textId="77777777" w:rsidTr="003466AE">
        <w:tc>
          <w:tcPr>
            <w:tcW w:w="4942" w:type="dxa"/>
            <w:shd w:val="clear" w:color="auto" w:fill="ED7D31"/>
          </w:tcPr>
          <w:p w14:paraId="5F7FDC1D" w14:textId="0937C8EC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72C3A0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703E7E7" w14:textId="77777777" w:rsidR="007B2884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BE46E4B" w14:textId="77777777" w:rsidR="007B2884" w:rsidRDefault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5682A3C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5D217D5A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9045C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898F89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868BE9" w14:textId="41629FD7" w:rsidR="007B2884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3</w:t>
            </w:r>
          </w:p>
          <w:p w14:paraId="37B21A3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A3E4F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42B7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4CD4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4BE9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145AA76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D2CA3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1, 2, 3, 4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5C9F2" w14:textId="77777777" w:rsidR="007A3D48" w:rsidRPr="003D7E0C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identificere og reagere på ændring i borgerens/patientens 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sundhedstilstand. </w:t>
            </w:r>
          </w:p>
          <w:p w14:paraId="68413AC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Ved uforudsete og komplekse problemstillinger kan eleven udføre sygeplejehandlinger inden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for eget kompetenceområde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samt delegerede sygeplejehandlinger, herunder udføre palliativ pleje.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CE46" w14:textId="77777777" w:rsidR="003D7E0C" w:rsidRDefault="00660B21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  <w:r w:rsidR="003D7E0C">
              <w:rPr>
                <w:rFonts w:ascii="Verdana" w:hAnsi="Verdana" w:cs="Calibri"/>
                <w:sz w:val="20"/>
                <w:szCs w:val="20"/>
              </w:rPr>
              <w:t xml:space="preserve">Grundlæggende viden om fordøjelsessystemet, hjertekredsløb, diabetes, nyrer- urinveje, respirationsorganerne, nervesystemet, gerontologi. </w:t>
            </w:r>
          </w:p>
          <w:p w14:paraId="40EB1A5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TOBS</w:t>
            </w:r>
          </w:p>
          <w:p w14:paraId="165D427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2CB62B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Gerontopsykiatri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herunder demens former, skizofreni, affektive sindslidelse, dobbeltdiagnose, personlighedsforstyrrelse.</w:t>
            </w:r>
          </w:p>
          <w:p w14:paraId="1F96C2A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5B62EA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Grundlæggende sygepleje til en borger med kateter</w:t>
            </w:r>
          </w:p>
          <w:p w14:paraId="69296A8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4E99CF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Viden om grundlæggende hygiejne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138296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 </w:t>
            </w:r>
          </w:p>
          <w:p w14:paraId="2298C3D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Viden om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farmakodynamik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og farmakokinetik.</w:t>
            </w:r>
          </w:p>
          <w:p w14:paraId="599EA34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Observation af virkning og bivirkning af lægemidler:</w:t>
            </w:r>
          </w:p>
          <w:p w14:paraId="35EB3BF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C67D2F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Laksantia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5615009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Insulin og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antidiabetika</w:t>
            </w:r>
            <w:proofErr w:type="spellEnd"/>
          </w:p>
          <w:p w14:paraId="7EC520F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Antipsykotika</w:t>
            </w:r>
          </w:p>
          <w:p w14:paraId="6B8E515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Antidepressiva</w:t>
            </w:r>
            <w:proofErr w:type="spellEnd"/>
          </w:p>
          <w:p w14:paraId="4DD4281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Hypnotika</w:t>
            </w:r>
            <w:proofErr w:type="spellEnd"/>
          </w:p>
          <w:p w14:paraId="5F12C2F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Benzodiazepiner</w:t>
            </w:r>
          </w:p>
          <w:p w14:paraId="6DCE319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Alzheimer medicin</w:t>
            </w:r>
          </w:p>
          <w:p w14:paraId="1A50EF4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Analgetika</w:t>
            </w:r>
            <w:proofErr w:type="spellEnd"/>
          </w:p>
          <w:p w14:paraId="2DF8620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Polyfarmaci </w:t>
            </w:r>
          </w:p>
          <w:p w14:paraId="2CD50A8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4016CB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Naturfaglig viden 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om  syre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>/basebalance, synapsespalte og signalstoffer </w:t>
            </w:r>
          </w:p>
          <w:p w14:paraId="45B40DC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7827E9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43E354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Førstehjælp, generhvervelse</w:t>
            </w:r>
          </w:p>
          <w:p w14:paraId="718EABE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9657ED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EUD elever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 har valgfrit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udd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 Specifikt fag:</w:t>
            </w:r>
          </w:p>
          <w:p w14:paraId="15C06B6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Assistentens opgaver i forbindelse med livets afslutning</w:t>
            </w:r>
          </w:p>
          <w:p w14:paraId="11E53213" w14:textId="77777777" w:rsidR="007B2884" w:rsidRPr="00596A18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ECCB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52C0125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D8D9F7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D2AEFE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42EED9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9D1EAE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52E55C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D9C5D7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2B9CF2E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4DFFC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4D4C4AD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39478001" w14:textId="77777777" w:rsidTr="003466AE">
        <w:tc>
          <w:tcPr>
            <w:tcW w:w="4942" w:type="dxa"/>
            <w:shd w:val="clear" w:color="auto" w:fill="ED7D31"/>
          </w:tcPr>
          <w:p w14:paraId="218A0BC6" w14:textId="73804738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7F26633" w14:textId="7A5AF131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3B8DA8CA" w14:textId="77777777" w:rsidTr="003466AE">
        <w:tc>
          <w:tcPr>
            <w:tcW w:w="4942" w:type="dxa"/>
            <w:shd w:val="clear" w:color="auto" w:fill="auto"/>
          </w:tcPr>
          <w:p w14:paraId="0706792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62E8B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86B7F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24CE98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BA8D07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52440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D081EA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06B13A63" w14:textId="77777777" w:rsidTr="003466AE">
        <w:tc>
          <w:tcPr>
            <w:tcW w:w="4942" w:type="dxa"/>
            <w:shd w:val="clear" w:color="auto" w:fill="ED7D31"/>
          </w:tcPr>
          <w:p w14:paraId="44913469" w14:textId="799057CC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194709F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819AB66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BD1542D" w14:textId="77777777" w:rsidR="007B2884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897204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7A65D5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F4826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D3F9E4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85779" w14:textId="5A39E9A3" w:rsidR="007B2884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4</w:t>
            </w:r>
          </w:p>
          <w:p w14:paraId="5130879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CE5C0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D973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8FF46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A0B75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EA82B09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585EF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2, 5, 6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FDEF8" w14:textId="77777777" w:rsidR="007B2884" w:rsidRPr="003D7E0C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ud fra en helhedsorienteret tilgang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, der understøtter borgerens/patientens mestring af eget liv, selvstændigt og i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samarbejde med borgeren/patienten og pårørende 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arbejde med 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 xml:space="preserve">rehabilitering og </w:t>
            </w:r>
            <w:proofErr w:type="spellStart"/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recovery</w:t>
            </w:r>
            <w:proofErr w:type="spellEnd"/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. </w:t>
            </w:r>
          </w:p>
          <w:p w14:paraId="065998EE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364C84D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875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Livshistorie og livsformers betydning for hverdagslivet</w:t>
            </w:r>
          </w:p>
          <w:p w14:paraId="5A02273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</w:p>
          <w:p w14:paraId="1FA83B0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Funktionsevnebegrebet</w:t>
            </w:r>
          </w:p>
          <w:p w14:paraId="13EE778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</w:p>
          <w:p w14:paraId="3E6B6D8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3A55897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Recovery og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psykoeducation</w:t>
            </w:r>
            <w:proofErr w:type="spellEnd"/>
          </w:p>
          <w:p w14:paraId="7E87879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Jeg-støtte</w:t>
            </w:r>
          </w:p>
          <w:p w14:paraId="306AE67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Kognitiv tilgang</w:t>
            </w:r>
          </w:p>
          <w:p w14:paraId="1017EE8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Mestring</w:t>
            </w:r>
          </w:p>
          <w:p w14:paraId="012734C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Samarbejde og støtte af pårørende</w:t>
            </w:r>
          </w:p>
          <w:p w14:paraId="581F4C9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3CA2874" w14:textId="77777777" w:rsidR="007B2884" w:rsidRPr="00596A18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EC92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43F79CE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D4C466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235C57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65814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6CDC0E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E6EE66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F8A51B0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CBD5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487EB36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7377FDDA" w14:textId="77777777" w:rsidTr="003466AE">
        <w:tc>
          <w:tcPr>
            <w:tcW w:w="4942" w:type="dxa"/>
            <w:shd w:val="clear" w:color="auto" w:fill="ED7D31"/>
          </w:tcPr>
          <w:p w14:paraId="2D5742AC" w14:textId="71DCAD05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7A581FA" w14:textId="5C50002B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126260B3" w14:textId="77777777" w:rsidTr="003466AE">
        <w:tc>
          <w:tcPr>
            <w:tcW w:w="4942" w:type="dxa"/>
            <w:shd w:val="clear" w:color="auto" w:fill="auto"/>
          </w:tcPr>
          <w:p w14:paraId="5D52909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81455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4D468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97D74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829982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BEEB3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D521E5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3DB43F5C" w14:textId="77777777" w:rsidTr="003466AE">
        <w:tc>
          <w:tcPr>
            <w:tcW w:w="4942" w:type="dxa"/>
            <w:shd w:val="clear" w:color="auto" w:fill="ED7D31"/>
          </w:tcPr>
          <w:p w14:paraId="632460E2" w14:textId="5B998270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5A59E3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6EF84E9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DCACC56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80DFC73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2234329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9A8F55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3799BA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42AC3" w14:textId="1E266288" w:rsidR="007B2884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5</w:t>
            </w:r>
          </w:p>
          <w:p w14:paraId="36F921F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98607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B8778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CDB9B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AE5F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02DA3EDA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544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9E588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og tværprofessionelt arbejde sundhedsfremmende og ud fra et helhedssyn forebygge udvikling af livsstilssygdomme ved at vejlede og motivere borgeren/patienten til mestring af eget liv.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C12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Motivation og mestring (Antonovsky, Bruun Jensen og Lazarus)</w:t>
            </w:r>
          </w:p>
          <w:p w14:paraId="2D1BEE8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39A54F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Sheldons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4 motivationsformer</w:t>
            </w:r>
          </w:p>
          <w:p w14:paraId="72B92EE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548A10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Forebyggelse  </w:t>
            </w:r>
          </w:p>
          <w:p w14:paraId="0E56F01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845C56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Motiverende samtale</w:t>
            </w:r>
          </w:p>
          <w:p w14:paraId="67B2BD7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Livsstilssygdomme</w:t>
            </w:r>
          </w:p>
          <w:p w14:paraId="4F1C194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Instruktion, vejledning og rådgivning</w:t>
            </w:r>
          </w:p>
          <w:p w14:paraId="0403CEA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Den didaktiske relationsmodel</w:t>
            </w:r>
          </w:p>
          <w:p w14:paraId="211CC10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6725FEE2" w14:textId="77777777" w:rsidR="007B2884" w:rsidRPr="00596A18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B0200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AC9BD6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873105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147059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AD6057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255F38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66D2B2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51C990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528A8E5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427D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9A9E473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44763EA3" w14:textId="77777777" w:rsidTr="003466AE">
        <w:tc>
          <w:tcPr>
            <w:tcW w:w="4942" w:type="dxa"/>
            <w:shd w:val="clear" w:color="auto" w:fill="ED7D31"/>
          </w:tcPr>
          <w:p w14:paraId="55ADCC8C" w14:textId="7F884731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78CED3F" w14:textId="2EE5C3EF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76AE1679" w14:textId="77777777" w:rsidTr="003466AE">
        <w:tc>
          <w:tcPr>
            <w:tcW w:w="4942" w:type="dxa"/>
            <w:shd w:val="clear" w:color="auto" w:fill="auto"/>
          </w:tcPr>
          <w:p w14:paraId="074DC84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E086C0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42569D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5B1FE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4E3818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EC58F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41D64B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2AAD4F0F" w14:textId="77777777" w:rsidTr="003466AE">
        <w:tc>
          <w:tcPr>
            <w:tcW w:w="4942" w:type="dxa"/>
            <w:shd w:val="clear" w:color="auto" w:fill="ED7D31"/>
          </w:tcPr>
          <w:p w14:paraId="0FA1172C" w14:textId="2575C80B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202A62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5BEB5F5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0576B19" w14:textId="6C20E90B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5992D27" w14:textId="20660936" w:rsidR="00236AE4" w:rsidRDefault="00236AE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57C2082" w14:textId="05F7BE12" w:rsidR="00236AE4" w:rsidRDefault="00236AE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C437DC7" w14:textId="77777777" w:rsidR="00236AE4" w:rsidRDefault="00236AE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4B45190" w14:textId="77777777" w:rsidR="007B2884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4A9ACA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9EB7B7E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02927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Kompetencemål</w:t>
            </w:r>
          </w:p>
          <w:p w14:paraId="3A478B6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BB6D71" w14:textId="2A818488" w:rsidR="007B2884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6</w:t>
            </w:r>
          </w:p>
          <w:p w14:paraId="62627A6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E2F3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5FF2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9B75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C0F8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758438A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ED4A0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D72F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ud fra en rehabiliterende tilgang selvstændigt planlægge, udføre og evaluere omsorg, praktisk hjælp og personlig pleje til borgere med fysiske, psykiske og sociale behov.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3CC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Rehabiliterings-begrebet- hvidbogens definition</w:t>
            </w:r>
          </w:p>
          <w:p w14:paraId="53D8905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625F84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Måltidet. Hjælpemidler der kan bruges i forhold til madlavning og måltidet </w:t>
            </w:r>
          </w:p>
          <w:p w14:paraId="69B1944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C9155C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ICF</w:t>
            </w:r>
          </w:p>
          <w:p w14:paraId="4E93CCA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MOHO</w:t>
            </w:r>
          </w:p>
          <w:p w14:paraId="171E8F4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A6AD57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Aktivitetsanalyse</w:t>
            </w:r>
          </w:p>
          <w:p w14:paraId="3F8BB45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Nuzo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og Flow</w:t>
            </w:r>
          </w:p>
          <w:p w14:paraId="6D92F28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ADL</w:t>
            </w:r>
          </w:p>
          <w:p w14:paraId="396E2AD6" w14:textId="77777777" w:rsidR="00660B21" w:rsidRPr="00596A18" w:rsidRDefault="00660B21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6E23D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6661CF9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166921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6FECD2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11A5F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32D9A1C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77DF7B8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69515A0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6B756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C7D3926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424D7CDF" w14:textId="77777777" w:rsidTr="003466AE">
        <w:tc>
          <w:tcPr>
            <w:tcW w:w="4942" w:type="dxa"/>
            <w:shd w:val="clear" w:color="auto" w:fill="ED7D31"/>
          </w:tcPr>
          <w:p w14:paraId="1B065DB8" w14:textId="5B5DA01B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E461982" w14:textId="2FCF4D1F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4437205F" w14:textId="77777777" w:rsidTr="003466AE">
        <w:tc>
          <w:tcPr>
            <w:tcW w:w="4942" w:type="dxa"/>
            <w:shd w:val="clear" w:color="auto" w:fill="auto"/>
          </w:tcPr>
          <w:p w14:paraId="31BC5F6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2A433C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06338D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87E73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DBD3C4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FBD9AA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7E3AB8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0FF8D572" w14:textId="77777777" w:rsidTr="003466AE">
        <w:tc>
          <w:tcPr>
            <w:tcW w:w="4942" w:type="dxa"/>
            <w:shd w:val="clear" w:color="auto" w:fill="ED7D31"/>
          </w:tcPr>
          <w:p w14:paraId="11E1B24F" w14:textId="10EDFA1D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A82335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8213068" w14:textId="77777777" w:rsidR="007B2884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C4AF641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2C8BF11A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D5C161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D686EB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6B6EF1" w14:textId="7B2142DF" w:rsidR="007B2884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7</w:t>
            </w:r>
          </w:p>
          <w:p w14:paraId="468BE9F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AACF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9BD6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4953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ADB1D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1E4686F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D392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775F2C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tilrettelægge og gennemføre fysiske, sociale, kulturelle og kreative aktiviteter, og informere og vejlede om aktivitetstilbud, herunder inddrage netværk og frivillige ud fra borgerens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interesser og behov og understøtte borgere/patienter i at træffe egne valg. </w:t>
            </w:r>
          </w:p>
          <w:p w14:paraId="158ADD1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B4FDD5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6E34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Fysisk aktivitets betydning for borgerens sundhedstilstand.</w:t>
            </w:r>
          </w:p>
          <w:p w14:paraId="69928B71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5FC63FD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Igangsætte fysisk aktivitet til borgeren</w:t>
            </w:r>
          </w:p>
          <w:p w14:paraId="2E94B701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A3D6FE4" w14:textId="77777777" w:rsidR="003D7E0C" w:rsidRPr="00596A18" w:rsidRDefault="003D7E0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Sanserne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FA3F1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853373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B79F4F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0B8C76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C7BD47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8B4F90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1C1554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0F194A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EE0C148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3AF3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2B45001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6416F440" w14:textId="77777777" w:rsidTr="003466AE">
        <w:tc>
          <w:tcPr>
            <w:tcW w:w="4942" w:type="dxa"/>
            <w:shd w:val="clear" w:color="auto" w:fill="ED7D31"/>
          </w:tcPr>
          <w:p w14:paraId="2A6DF887" w14:textId="546C062D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7E4156E" w14:textId="5F4876DB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24A76E3A" w14:textId="77777777" w:rsidTr="003466AE">
        <w:tc>
          <w:tcPr>
            <w:tcW w:w="4942" w:type="dxa"/>
            <w:shd w:val="clear" w:color="auto" w:fill="auto"/>
          </w:tcPr>
          <w:p w14:paraId="5FA52C8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EAA9C8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448EB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23AC8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29E19F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6572D0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966B7D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2ECD9932" w14:textId="77777777" w:rsidTr="003466AE">
        <w:tc>
          <w:tcPr>
            <w:tcW w:w="4942" w:type="dxa"/>
            <w:shd w:val="clear" w:color="auto" w:fill="ED7D31"/>
          </w:tcPr>
          <w:p w14:paraId="463C669C" w14:textId="1C2333B4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63949B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07AD0FB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2B00168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532AC8D" w14:textId="77777777" w:rsidR="007B2884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41278C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3B08F83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77E5BEC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D9A613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994393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3C24C3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3F1A9" w14:textId="7D699D51" w:rsidR="007B2884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8</w:t>
            </w:r>
          </w:p>
          <w:p w14:paraId="4C8AEC6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9D4AE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F149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6108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44771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015C1BE9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1227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5, 10, 11, 13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54AF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forebygge smittespredning ud fra nationale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lokale retningslinjer og standarder for hygiejne, herunder særlige regimer og teknikker samt vejlede borgere, patienter, pårørende, kollegaer og frivillige herom.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9DA1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Hygiejniske principper i forbindelse med sengeredning, kateterpleje og nedre hygiejne</w:t>
            </w:r>
          </w:p>
          <w:p w14:paraId="67A0F04B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242F600A" w14:textId="77777777" w:rsidR="00660B21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841D9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F7058B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409228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D7F578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DF438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E9ECCD4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D24BB9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53DF3F0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C414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5A7622E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0471A3D2" w14:textId="77777777" w:rsidTr="003466AE">
        <w:tc>
          <w:tcPr>
            <w:tcW w:w="4942" w:type="dxa"/>
            <w:shd w:val="clear" w:color="auto" w:fill="ED7D31"/>
          </w:tcPr>
          <w:p w14:paraId="416E62D1" w14:textId="423CAF03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2D1C4A4" w14:textId="47146B6B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38834A40" w14:textId="77777777" w:rsidTr="003466AE">
        <w:tc>
          <w:tcPr>
            <w:tcW w:w="4942" w:type="dxa"/>
            <w:shd w:val="clear" w:color="auto" w:fill="auto"/>
          </w:tcPr>
          <w:p w14:paraId="16A6536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DA856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3C012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8060FD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9B561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141C0A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2880DB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76560B43" w14:textId="77777777" w:rsidTr="003466AE">
        <w:tc>
          <w:tcPr>
            <w:tcW w:w="4942" w:type="dxa"/>
            <w:shd w:val="clear" w:color="auto" w:fill="ED7D31"/>
          </w:tcPr>
          <w:p w14:paraId="1FC43D24" w14:textId="7655C7FC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66A47E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DFB041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1D814C3" w14:textId="143CE87A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FAF5819" w14:textId="04D3B7BD" w:rsidR="00236AE4" w:rsidRDefault="00236AE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93C7C7D" w14:textId="77777777" w:rsidR="00236AE4" w:rsidRDefault="00236AE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9A137BB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78FAB3B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3F84D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CB953A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AF18D" w14:textId="381C182D" w:rsidR="007B2884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9</w:t>
            </w:r>
          </w:p>
          <w:p w14:paraId="40A19DF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34F9C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FD96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3490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4CBC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715BF9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E2BB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1, 2, 4, 10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6F94B3" w14:textId="2CE0A282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efter </w:t>
            </w:r>
            <w:r w:rsidR="00F76C68">
              <w:rPr>
                <w:rFonts w:ascii="Verdana" w:hAnsi="Verdana" w:cs="Calibri"/>
                <w:color w:val="FF0000"/>
                <w:sz w:val="20"/>
                <w:szCs w:val="20"/>
              </w:rPr>
              <w:t>oplærings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stedets retningslinjer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efter delegation varetage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medicinhåndtering, observere virkning/bivirkninger samt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dokumentere og samarbejde med borger/patient i den medicinske behandling.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579E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Farmakodynamik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og farmakokinetik</w:t>
            </w:r>
          </w:p>
          <w:p w14:paraId="503611E7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Lovgivning, kompetence, dokumentation </w:t>
            </w:r>
          </w:p>
          <w:p w14:paraId="4559AC06" w14:textId="77777777" w:rsidR="007B2884" w:rsidRDefault="00660B21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C294B9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Lægemiddelregning</w:t>
            </w:r>
          </w:p>
          <w:p w14:paraId="7746429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D75670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Hygiejne vedr. lægemidler</w:t>
            </w:r>
          </w:p>
          <w:p w14:paraId="7BFF79F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2F62E6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Medicinhåndtering</w:t>
            </w:r>
          </w:p>
          <w:p w14:paraId="095EF81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Observation virkning og bivirkning af lægemidler.</w:t>
            </w:r>
          </w:p>
          <w:p w14:paraId="1B5F6511" w14:textId="77777777" w:rsidR="003D7E0C" w:rsidRPr="00596A18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B4FC3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B3BB46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C857E2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845A62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466BC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AE60D17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691208C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89A51A1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3A853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863BC34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14C99571" w14:textId="77777777" w:rsidTr="003466AE">
        <w:tc>
          <w:tcPr>
            <w:tcW w:w="4942" w:type="dxa"/>
            <w:shd w:val="clear" w:color="auto" w:fill="ED7D31"/>
          </w:tcPr>
          <w:p w14:paraId="3537E125" w14:textId="0B588C55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BC52281" w14:textId="757B34FF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0FB28777" w14:textId="77777777" w:rsidTr="003466AE">
        <w:tc>
          <w:tcPr>
            <w:tcW w:w="4942" w:type="dxa"/>
            <w:shd w:val="clear" w:color="auto" w:fill="auto"/>
          </w:tcPr>
          <w:p w14:paraId="1476DD1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F0C179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DF2C99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2C5A6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E9421D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E21BF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4572EF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4894F175" w14:textId="77777777" w:rsidTr="003466AE">
        <w:tc>
          <w:tcPr>
            <w:tcW w:w="4942" w:type="dxa"/>
            <w:shd w:val="clear" w:color="auto" w:fill="ED7D31"/>
          </w:tcPr>
          <w:p w14:paraId="4F0394C1" w14:textId="133C7AB0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76E969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4FFE8F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8997FA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3C2484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7409A02D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B0715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22B9B4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FD25F" w14:textId="0F7CD957" w:rsidR="007B2884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10</w:t>
            </w:r>
          </w:p>
          <w:p w14:paraId="3466647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9474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F658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6A88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7B737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3F9101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52D98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70018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etablere relationer, der skaber samarbejde med borgere/patienter, pårørende og frivillige, herunder kommunikere målrettet og anvende relevante kommunikationsformer.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ABE8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 lytning i forhold til at skabe relationer</w:t>
            </w:r>
          </w:p>
          <w:p w14:paraId="32E7BEEB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F941CD4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Gensvarsmodeller</w:t>
            </w:r>
          </w:p>
          <w:p w14:paraId="7022DA96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Spørgeteknikker</w:t>
            </w:r>
          </w:p>
          <w:p w14:paraId="0428AA2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143EC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4EBA5E3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EBD6E1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4349FA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E8259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03B434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C910EC7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3F0B82C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6153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4EBEB4B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2DF3C906" w14:textId="77777777" w:rsidTr="003466AE">
        <w:tc>
          <w:tcPr>
            <w:tcW w:w="4942" w:type="dxa"/>
            <w:shd w:val="clear" w:color="auto" w:fill="ED7D31"/>
          </w:tcPr>
          <w:p w14:paraId="49AE9661" w14:textId="04FD3B6A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9CBE3ED" w14:textId="1449496D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208522E5" w14:textId="77777777" w:rsidTr="003466AE">
        <w:tc>
          <w:tcPr>
            <w:tcW w:w="4942" w:type="dxa"/>
            <w:shd w:val="clear" w:color="auto" w:fill="auto"/>
          </w:tcPr>
          <w:p w14:paraId="7C73C16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D028B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B6143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31B2C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8A47CC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54654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5BEB72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77586143" w14:textId="77777777" w:rsidTr="003466AE">
        <w:tc>
          <w:tcPr>
            <w:tcW w:w="4942" w:type="dxa"/>
            <w:shd w:val="clear" w:color="auto" w:fill="ED7D31"/>
          </w:tcPr>
          <w:p w14:paraId="2E9868DC" w14:textId="41DD4909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7FB863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4984885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122CF7D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F7EB897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A3A2C91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C4BF3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A7A93F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BAA78" w14:textId="18E48B09" w:rsidR="007B2884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11</w:t>
            </w:r>
          </w:p>
          <w:p w14:paraId="1817B6D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DB8C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7B63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562D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2518E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58596D18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C82C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C2E14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gennemføre pædagogiske aktiviteter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og varetage vejledning af kollegaer.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C68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Rådgivning, vejledning og instruktion</w:t>
            </w:r>
          </w:p>
          <w:p w14:paraId="7051D938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Den didaktiske model</w:t>
            </w:r>
          </w:p>
          <w:p w14:paraId="0F0731C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220C8F0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D8F30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BF0902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6D66FD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B8CB4B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D99C3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F009A0A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522676B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6626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9BB1898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5097B0AC" w14:textId="77777777" w:rsidTr="003466AE">
        <w:tc>
          <w:tcPr>
            <w:tcW w:w="4942" w:type="dxa"/>
            <w:shd w:val="clear" w:color="auto" w:fill="ED7D31"/>
          </w:tcPr>
          <w:p w14:paraId="19AB681F" w14:textId="003E6E83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FC62C20" w14:textId="1AEBF0C5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6AACF139" w14:textId="77777777" w:rsidTr="003466AE">
        <w:tc>
          <w:tcPr>
            <w:tcW w:w="4942" w:type="dxa"/>
            <w:shd w:val="clear" w:color="auto" w:fill="auto"/>
          </w:tcPr>
          <w:p w14:paraId="6661A9A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BB6261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E0F41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200C9C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348E22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19DC3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11224490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3EB9C9F5" w14:textId="77777777" w:rsidTr="003466AE">
        <w:tc>
          <w:tcPr>
            <w:tcW w:w="4942" w:type="dxa"/>
            <w:shd w:val="clear" w:color="auto" w:fill="ED7D31"/>
          </w:tcPr>
          <w:p w14:paraId="07AEF84B" w14:textId="20C0A2E1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E780DE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8858595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5628D35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0CFE945" w14:textId="77777777" w:rsidR="007B2884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334CCB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B9D66DB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07FE77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32346F7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02058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2458E7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770B13" w14:textId="2C81D715" w:rsidR="007B2884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12</w:t>
            </w:r>
          </w:p>
          <w:p w14:paraId="2EF0B94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01EAA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3280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2C8C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DD51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772FFA24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49EDE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4, 6, 7, 9, 14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6F6970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kommunikere på en måde der, under hensyntagen til egen og andres sikkerhed, understøtter borgere og patienters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integritet og selvbestemmelse i forbindelse med konflikthåndtering og voldsforebyggelse.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CFC4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Kultur</w:t>
            </w:r>
          </w:p>
          <w:p w14:paraId="612B897D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Sundhedsopfattelser</w:t>
            </w:r>
          </w:p>
          <w:p w14:paraId="5E4660D7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Værdighed </w:t>
            </w:r>
          </w:p>
          <w:p w14:paraId="4CFE0F8A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Integritet</w:t>
            </w:r>
          </w:p>
          <w:p w14:paraId="49A70F80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 og refleksion</w:t>
            </w:r>
          </w:p>
          <w:p w14:paraId="290A90B2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55DC56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 sygepleje</w:t>
            </w:r>
          </w:p>
          <w:p w14:paraId="496B820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Kognitiv tilgang og forsvarsmekanismer </w:t>
            </w:r>
          </w:p>
          <w:p w14:paraId="3C67E61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</w:t>
            </w:r>
          </w:p>
          <w:p w14:paraId="78F2C5E3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Lokalt kriseberedskab</w:t>
            </w:r>
          </w:p>
          <w:p w14:paraId="149E84E3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 om selvbestemmelse</w:t>
            </w:r>
          </w:p>
          <w:p w14:paraId="205CAFD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 og tvang</w:t>
            </w:r>
          </w:p>
          <w:p w14:paraId="1ED28780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Stress håndtering</w:t>
            </w:r>
          </w:p>
          <w:p w14:paraId="0DA4FC6A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429D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C7664A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4FFB64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0FFAAD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8C72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20DEC7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B35F5B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01F33F5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921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69C36FC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53D7B916" w14:textId="77777777" w:rsidTr="003466AE">
        <w:tc>
          <w:tcPr>
            <w:tcW w:w="4942" w:type="dxa"/>
            <w:shd w:val="clear" w:color="auto" w:fill="ED7D31"/>
          </w:tcPr>
          <w:p w14:paraId="31F6176C" w14:textId="06AEBCAF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8ED54B6" w14:textId="4272C400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29C36B3C" w14:textId="77777777" w:rsidTr="003466AE">
        <w:tc>
          <w:tcPr>
            <w:tcW w:w="4942" w:type="dxa"/>
            <w:shd w:val="clear" w:color="auto" w:fill="auto"/>
          </w:tcPr>
          <w:p w14:paraId="15E45B3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8BCE6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7A309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A5FAE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981E2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CCA9A8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396583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251CD214" w14:textId="77777777" w:rsidTr="003466AE">
        <w:tc>
          <w:tcPr>
            <w:tcW w:w="4942" w:type="dxa"/>
            <w:shd w:val="clear" w:color="auto" w:fill="ED7D31"/>
          </w:tcPr>
          <w:p w14:paraId="48F59F2F" w14:textId="78B2D039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1E8A55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DB41551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0A2AC46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BB7F031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1272C4F4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865DD2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FCA08D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23238" w14:textId="1D5FE3CA" w:rsidR="00D5332A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13</w:t>
            </w:r>
          </w:p>
          <w:p w14:paraId="790D49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819C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91759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59896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858C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5CBC230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A856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DBB1A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kommunikere og dokumentere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faglige handlinger i relevante dokumentationssystemer med henblik på at understøtte patientsikre overgange og kontinuitet i det samlede borger/patientforløb og øge den borger-/patientoplevede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3913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Dokumentation </w:t>
            </w:r>
          </w:p>
          <w:p w14:paraId="6C667813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 sygeplejefaglige problemområder</w:t>
            </w:r>
          </w:p>
          <w:p w14:paraId="32195981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(begyndende kendskab) FS III</w:t>
            </w:r>
          </w:p>
          <w:p w14:paraId="118B7339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2DCFFE84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F63D942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4928182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 i forhold til lægemidler</w:t>
            </w:r>
          </w:p>
          <w:p w14:paraId="137F2B7A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0B3933B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 system</w:t>
            </w:r>
          </w:p>
          <w:p w14:paraId="542402D8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048DEC18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Sygeplejeplaner</w:t>
            </w:r>
          </w:p>
          <w:p w14:paraId="53A6FD1B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Handleplaner</w:t>
            </w:r>
          </w:p>
          <w:p w14:paraId="4848CAFA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Kontaktpersonordning</w:t>
            </w:r>
          </w:p>
          <w:p w14:paraId="2B9FAE51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F169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1A419AE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1E0952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FC65E4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B4EE3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AAE41CA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A1ECECF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AF0884F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9FF8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38978BBF" w14:textId="77777777" w:rsidR="003466AE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6F3ABA02" w14:textId="77777777" w:rsidTr="003466AE">
        <w:tc>
          <w:tcPr>
            <w:tcW w:w="4942" w:type="dxa"/>
            <w:shd w:val="clear" w:color="auto" w:fill="ED7D31"/>
          </w:tcPr>
          <w:p w14:paraId="28D8E293" w14:textId="1490C48B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378E01F" w14:textId="32D3A79E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23CD6E02" w14:textId="77777777" w:rsidTr="003466AE">
        <w:tc>
          <w:tcPr>
            <w:tcW w:w="4942" w:type="dxa"/>
            <w:shd w:val="clear" w:color="auto" w:fill="auto"/>
          </w:tcPr>
          <w:p w14:paraId="3AFEDA2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E032A7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A81B29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ADE32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F0899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7DB3CB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0B4668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54D76CAF" w14:textId="77777777" w:rsidTr="003466AE">
        <w:tc>
          <w:tcPr>
            <w:tcW w:w="4942" w:type="dxa"/>
            <w:shd w:val="clear" w:color="auto" w:fill="ED7D31"/>
          </w:tcPr>
          <w:p w14:paraId="1B0201F8" w14:textId="22F8ACB6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71251C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77158A1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261F747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35809A8" w14:textId="77777777" w:rsidR="00D5332A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377219C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0D3762CC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515B9D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083493E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B57D7" w14:textId="4961084D" w:rsidR="00D5332A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14</w:t>
            </w:r>
          </w:p>
          <w:p w14:paraId="0805B92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9D1C8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B6D0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73BD6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34FF6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56913A6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5E52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4059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koordinere og tilrettelægge eget og andres arbejde samt understøtte og indgå i teamsamarbejde omkring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opgaveløsning med borgerens/patientens mål for øje.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738F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Instruktion, vejledning, rådgivning og didaktik.</w:t>
            </w:r>
          </w:p>
          <w:p w14:paraId="55B8F889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34237377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Sygeplejeprocessen</w:t>
            </w:r>
          </w:p>
          <w:p w14:paraId="4F1171F3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6B4D495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0F02CB06" w14:textId="77777777" w:rsidR="00D5332A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Rollen som SSA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335EF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42CE6BD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40BEFC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8F947A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EC6A1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956FD14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937EC5E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1738E9E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30D4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C79700F" w14:textId="77777777" w:rsidR="003466AE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5A87278E" w14:textId="77777777" w:rsidTr="003466AE">
        <w:tc>
          <w:tcPr>
            <w:tcW w:w="4942" w:type="dxa"/>
            <w:shd w:val="clear" w:color="auto" w:fill="ED7D31"/>
          </w:tcPr>
          <w:p w14:paraId="79CCBA99" w14:textId="4BFEE325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E1F86E7" w14:textId="6255FDFF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4C0CBE94" w14:textId="77777777" w:rsidTr="003466AE">
        <w:tc>
          <w:tcPr>
            <w:tcW w:w="4942" w:type="dxa"/>
            <w:shd w:val="clear" w:color="auto" w:fill="auto"/>
          </w:tcPr>
          <w:p w14:paraId="0E05520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D29599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65E0D4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2F60F0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1A6A75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16F5BE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8255A7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5A6497E5" w14:textId="77777777" w:rsidTr="003466AE">
        <w:tc>
          <w:tcPr>
            <w:tcW w:w="4942" w:type="dxa"/>
            <w:shd w:val="clear" w:color="auto" w:fill="ED7D31"/>
          </w:tcPr>
          <w:p w14:paraId="1FF81FE4" w14:textId="0A15986C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CEC256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024091A" w14:textId="77777777" w:rsidR="00D5332A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17E0D46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BD026AC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11CE108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87212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0ECF15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42194" w14:textId="0064A08E" w:rsidR="00D5332A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15</w:t>
            </w:r>
          </w:p>
          <w:p w14:paraId="0CB8E55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3D5E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21D2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5C61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C9D5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7104E0E2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5C6AF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7, 8, 9, 10, 11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80B62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kan koordinere og indgå i samarbejdet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om en borgers/patients behov for tværprofessionel og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tværsektoriel indsats,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herunder selvstændigt indlede, afslutte og dokumentere en social- og sundhedsfaglig ydelse i relation til modtagelse, indlæggelse, udskrivning og hjemkomst.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2036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Kendskab til andre samarbejdspartnere</w:t>
            </w:r>
          </w:p>
          <w:p w14:paraId="00128A1E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624953D9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Assistenten som fagperson</w:t>
            </w:r>
          </w:p>
          <w:p w14:paraId="3222997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Psykiatriske system</w:t>
            </w:r>
          </w:p>
          <w:p w14:paraId="7465D4A6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BD88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52CE35A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BEDA24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678970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7AC36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7A6490A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14CF208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FEDD7E1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F845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33431CB" w14:textId="77777777" w:rsidR="003466AE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1F187797" w14:textId="77777777" w:rsidTr="003466AE">
        <w:tc>
          <w:tcPr>
            <w:tcW w:w="4942" w:type="dxa"/>
            <w:shd w:val="clear" w:color="auto" w:fill="ED7D31"/>
          </w:tcPr>
          <w:p w14:paraId="646714AE" w14:textId="7A358D35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191528B" w14:textId="3D59DF9D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7B809723" w14:textId="77777777" w:rsidTr="003466AE">
        <w:tc>
          <w:tcPr>
            <w:tcW w:w="4942" w:type="dxa"/>
            <w:shd w:val="clear" w:color="auto" w:fill="auto"/>
          </w:tcPr>
          <w:p w14:paraId="08B08E3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84C637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91A34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F30BD5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DDA74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67FAE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D1075B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33549DB2" w14:textId="77777777" w:rsidTr="003466AE">
        <w:tc>
          <w:tcPr>
            <w:tcW w:w="4942" w:type="dxa"/>
            <w:shd w:val="clear" w:color="auto" w:fill="ED7D31"/>
          </w:tcPr>
          <w:p w14:paraId="0F33199F" w14:textId="43A49C60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66A9EA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0327E45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C22F748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475534F" w14:textId="77777777" w:rsidR="00D5332A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409C27C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0DE850F6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6DF25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C5B6EF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BC3851" w14:textId="05EC8B54" w:rsidR="00D5332A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16</w:t>
            </w:r>
          </w:p>
          <w:p w14:paraId="01C965C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146E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AB33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A098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2CD4B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570760E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6ABE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2, 8, 11, 12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AEBCF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udføre sygepleje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med anvendelse af teknologi og retningslinjer, der tager udgangspunkt i erfaringsbaseret viden og evidens.  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864A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Hjælpemidler</w:t>
            </w:r>
          </w:p>
          <w:p w14:paraId="544D7DE7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BE3E986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Jeg - støtte</w:t>
            </w:r>
          </w:p>
          <w:p w14:paraId="3182950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 pædagogiske metoder</w:t>
            </w:r>
          </w:p>
          <w:p w14:paraId="799BA466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Kognitiv terapi</w:t>
            </w:r>
          </w:p>
          <w:p w14:paraId="62FED71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58F4953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CF48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73DD72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A73D38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886AC2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86F9EE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22F0E48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243AC6F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93AF4B8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CAFAE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11C7B18" w14:textId="77777777" w:rsidR="003466AE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544EDD3E" w14:textId="77777777" w:rsidTr="003466AE">
        <w:tc>
          <w:tcPr>
            <w:tcW w:w="4942" w:type="dxa"/>
            <w:shd w:val="clear" w:color="auto" w:fill="ED7D31"/>
          </w:tcPr>
          <w:p w14:paraId="4CAB1C03" w14:textId="34343711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16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B5E8631" w14:textId="4764562A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16 -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5C97CC3D" w14:textId="77777777" w:rsidTr="003466AE">
        <w:tc>
          <w:tcPr>
            <w:tcW w:w="4942" w:type="dxa"/>
            <w:shd w:val="clear" w:color="auto" w:fill="auto"/>
          </w:tcPr>
          <w:p w14:paraId="708A6C6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6CFC2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511B36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1BD3A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D937CB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E246A8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61772B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631513FB" w14:textId="77777777" w:rsidTr="003466AE">
        <w:tc>
          <w:tcPr>
            <w:tcW w:w="4942" w:type="dxa"/>
            <w:shd w:val="clear" w:color="auto" w:fill="ED7D31"/>
          </w:tcPr>
          <w:p w14:paraId="46831521" w14:textId="151BB87F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DCE6C1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1FBD9B8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5DC0A16" w14:textId="77777777" w:rsidR="00D5332A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57BC835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37CEF1FE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C7E69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24A3DD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41835" w14:textId="7ED4AB03" w:rsidR="00D5332A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17</w:t>
            </w:r>
          </w:p>
          <w:p w14:paraId="2A9189B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5BF60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F9991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31CE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905C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368FEE92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6632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7C79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støtte op om udviklingen af god praksis for kvalitetssikring og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patientsikkerhed i det tværprofessionelle samarbejde.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74BA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UTH</w:t>
            </w:r>
          </w:p>
          <w:p w14:paraId="7C97E14D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TOBS</w:t>
            </w:r>
          </w:p>
          <w:p w14:paraId="69AB5017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C2C6BC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Magtanvendelse- servicelov</w:t>
            </w:r>
          </w:p>
          <w:p w14:paraId="7F2FA0EF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Tvang- psykiatrilov</w:t>
            </w:r>
          </w:p>
          <w:p w14:paraId="613DE38A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</w:t>
            </w:r>
          </w:p>
          <w:p w14:paraId="1E4F029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Brøset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BVC risikovurdering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>)</w:t>
            </w:r>
          </w:p>
          <w:p w14:paraId="582261EC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136E2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1674C83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93108B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927690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F545FA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78A5B24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1D74D52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BBE0314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8EA4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AC035E6" w14:textId="77777777" w:rsidR="003466AE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2489F595" w14:textId="77777777" w:rsidTr="003466AE">
        <w:tc>
          <w:tcPr>
            <w:tcW w:w="4942" w:type="dxa"/>
            <w:shd w:val="clear" w:color="auto" w:fill="ED7D31"/>
          </w:tcPr>
          <w:p w14:paraId="4AE090BF" w14:textId="1920E630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17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41DC136" w14:textId="049F2447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17 -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7903CBA4" w14:textId="77777777" w:rsidTr="003466AE">
        <w:tc>
          <w:tcPr>
            <w:tcW w:w="4942" w:type="dxa"/>
            <w:shd w:val="clear" w:color="auto" w:fill="auto"/>
          </w:tcPr>
          <w:p w14:paraId="5B9F1B1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DFF40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7A1E89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963E0B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B0956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5F6AA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38C50C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70F8321B" w14:textId="77777777" w:rsidTr="003466AE">
        <w:tc>
          <w:tcPr>
            <w:tcW w:w="4942" w:type="dxa"/>
            <w:shd w:val="clear" w:color="auto" w:fill="ED7D31"/>
          </w:tcPr>
          <w:p w14:paraId="21A83B41" w14:textId="640BA759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DF5FD0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CA723BA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9A979F2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5B81034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68FBECC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28C2F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6D8B32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5CBA79" w14:textId="1AFC2C8F" w:rsidR="00D5332A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18</w:t>
            </w:r>
          </w:p>
          <w:p w14:paraId="1A6AAAB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242AD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8D27D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3E4ED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63E2A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6813D68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6684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12, 13, 14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A4BA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forholde sig kritisk til og understøtte udvikling af et godt fysisk og psykisk arbejdsmiljø, herunder udføre forflytninger samt vurdere pladsforhold under overholdelse af arbejdsmiljøreglerne og anvendelse af velfærdsteknologi.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D8F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Arbejdsmiljø</w:t>
            </w:r>
          </w:p>
          <w:p w14:paraId="3F20EFD1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Arbejdsmiljoweb.dk</w:t>
            </w:r>
          </w:p>
          <w:p w14:paraId="6D9D035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B95CEFD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Ergonomi</w:t>
            </w:r>
          </w:p>
          <w:p w14:paraId="7D32842B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60551A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 og kriseberedskab</w:t>
            </w:r>
          </w:p>
          <w:p w14:paraId="651AE443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 og stresshåndtering</w:t>
            </w:r>
          </w:p>
          <w:p w14:paraId="53B3C1B2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1A9DF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422AA71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9598E3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BB3061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FE70DC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53C782C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BDAF81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A6B73F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74D0274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404A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C191084" w14:textId="77777777" w:rsidR="003466AE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4C703C0A" w14:textId="77777777" w:rsidTr="003466AE">
        <w:tc>
          <w:tcPr>
            <w:tcW w:w="4942" w:type="dxa"/>
            <w:shd w:val="clear" w:color="auto" w:fill="ED7D31"/>
          </w:tcPr>
          <w:p w14:paraId="489B893F" w14:textId="39F1B89B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18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1ED01F1" w14:textId="09ED4BD7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18 -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3B01C4C8" w14:textId="77777777" w:rsidTr="003466AE">
        <w:tc>
          <w:tcPr>
            <w:tcW w:w="4942" w:type="dxa"/>
            <w:shd w:val="clear" w:color="auto" w:fill="auto"/>
          </w:tcPr>
          <w:p w14:paraId="08BC1C0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38C34E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D72FA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E4C056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57894F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DF893E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44E4D8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4BF9CFF7" w14:textId="77777777" w:rsidTr="003466AE">
        <w:tc>
          <w:tcPr>
            <w:tcW w:w="4942" w:type="dxa"/>
            <w:shd w:val="clear" w:color="auto" w:fill="ED7D31"/>
          </w:tcPr>
          <w:p w14:paraId="4DE70D17" w14:textId="151112CC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3EDFC6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9AC25EC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C37BDDA" w14:textId="77777777" w:rsidR="00D5332A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17B3C59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36D9CFD7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C6E863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CCE17C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73D449" w14:textId="797CB725" w:rsidR="00D5332A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19</w:t>
            </w:r>
          </w:p>
          <w:p w14:paraId="2BA3D30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2A91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D245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78FF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8AF4A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0D44CBED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07450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1, 2, 3, 4, 5,  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EFA97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reflektere over og træffe kvalificerede valg i forhold til etiske og faglige dilemmaer, der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 xml:space="preserve">følger arbejdet som professionel sundhedsperson, fx forhold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som tavshedspligt, magtanvendelse, patientrettigheder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, omsorgspligt og hensyn til borgerens/patientens livskvalitet.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C2C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Lovgivning- tavshedspligt og patientrettigheder</w:t>
            </w:r>
          </w:p>
          <w:p w14:paraId="03F0F4AF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DE78D61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</w:t>
            </w:r>
          </w:p>
          <w:p w14:paraId="472797BB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Psykiatri lov</w:t>
            </w:r>
            <w:proofErr w:type="gramEnd"/>
          </w:p>
          <w:p w14:paraId="54F4C470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Magtanvendelse</w:t>
            </w:r>
          </w:p>
          <w:p w14:paraId="4D20DEEB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Livsformer</w:t>
            </w:r>
          </w:p>
          <w:p w14:paraId="0114BC3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</w:t>
            </w:r>
          </w:p>
          <w:p w14:paraId="1385FBA1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Hverdagsliv</w:t>
            </w:r>
          </w:p>
          <w:p w14:paraId="1612FAF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3208B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278635A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2C53AF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3749DE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B78C4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DB4F814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29E014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2A44E8D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6227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35004D0" w14:textId="77777777" w:rsidR="00D5332A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p w14:paraId="47478693" w14:textId="77777777" w:rsidR="007074F2" w:rsidRDefault="007074F2" w:rsidP="007074F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7074F2" w14:paraId="2F80D186" w14:textId="77777777" w:rsidTr="00801FBC">
        <w:tc>
          <w:tcPr>
            <w:tcW w:w="4942" w:type="dxa"/>
            <w:shd w:val="clear" w:color="auto" w:fill="ED7D31"/>
          </w:tcPr>
          <w:p w14:paraId="1E0292B1" w14:textId="2CADE62E" w:rsidR="007074F2" w:rsidRPr="007A3D48" w:rsidRDefault="00F76C68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7074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– </w:t>
            </w:r>
            <w:r w:rsidR="007074F2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7074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3C2493F" w14:textId="6BCEE8F6" w:rsidR="007074F2" w:rsidRPr="007A3D48" w:rsidRDefault="00F76C68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7074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19 - </w:t>
            </w:r>
            <w:r w:rsidR="007074F2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7074F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7074F2" w14:paraId="4C182674" w14:textId="77777777" w:rsidTr="00801FBC">
        <w:tc>
          <w:tcPr>
            <w:tcW w:w="4942" w:type="dxa"/>
            <w:shd w:val="clear" w:color="auto" w:fill="auto"/>
          </w:tcPr>
          <w:p w14:paraId="7BF2E123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FB3E54A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701F2D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F68CC47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2718BD9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0EC552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6B4AB30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074F2" w14:paraId="37FE8CA6" w14:textId="77777777" w:rsidTr="00801FBC">
        <w:tc>
          <w:tcPr>
            <w:tcW w:w="4942" w:type="dxa"/>
            <w:shd w:val="clear" w:color="auto" w:fill="ED7D31"/>
          </w:tcPr>
          <w:p w14:paraId="55881E0F" w14:textId="5D4F374F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1F61132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B667BD8" w14:textId="77777777" w:rsidR="007074F2" w:rsidRDefault="007074F2" w:rsidP="007074F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FD55E80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7974485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5DC2B507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2C6B00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01199D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6D751" w14:textId="69EBE66B" w:rsidR="00D5332A" w:rsidRDefault="00F76C68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20</w:t>
            </w:r>
          </w:p>
          <w:p w14:paraId="2EBF29F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91BE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14C5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8A2ED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33153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4A1DCE1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7AEA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1, 10, 12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E3FFBA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planlægge og redegøre for eget arbejde og kompetenceområde som autoriseret sundhedsperson i overensstemmelse med relevant lovgivning og andres kompetenceområder. </w:t>
            </w:r>
          </w:p>
          <w:p w14:paraId="0DD67238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76E8742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FE7F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Social- og sundhedsassistentens virksomhedsområde</w:t>
            </w:r>
          </w:p>
          <w:p w14:paraId="69D93CA7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DF8CFC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Kompetenceområde </w:t>
            </w:r>
          </w:p>
          <w:p w14:paraId="5D48ABF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7FACB7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Autorisationslov</w:t>
            </w:r>
          </w:p>
          <w:p w14:paraId="7B5BB9A4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sundhedslov og servicelov</w:t>
            </w:r>
          </w:p>
          <w:p w14:paraId="08EDB1A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Rettigheder og pligter</w:t>
            </w:r>
          </w:p>
          <w:p w14:paraId="21C43A71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0002C970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Psykiatrilov</w:t>
            </w:r>
          </w:p>
          <w:p w14:paraId="05F66CA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B25D5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AB4B0A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0E96DF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62CE6F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A54ECC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7CCC35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56FF67E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350179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2A5D132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7672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47715CC" w14:textId="77777777" w:rsidR="003466AE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58A8C044" w14:textId="77777777" w:rsidTr="003466AE">
        <w:tc>
          <w:tcPr>
            <w:tcW w:w="4942" w:type="dxa"/>
            <w:shd w:val="clear" w:color="auto" w:fill="ED7D31"/>
          </w:tcPr>
          <w:p w14:paraId="178C3915" w14:textId="2C17FDB4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 –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976ABC6" w14:textId="773F0EF8" w:rsidR="003466AE" w:rsidRPr="007A3D48" w:rsidRDefault="00F76C68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20 - </w:t>
            </w:r>
            <w:r w:rsidR="003466A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466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21EA660C" w14:textId="77777777" w:rsidTr="003466AE">
        <w:tc>
          <w:tcPr>
            <w:tcW w:w="4942" w:type="dxa"/>
            <w:shd w:val="clear" w:color="auto" w:fill="auto"/>
          </w:tcPr>
          <w:p w14:paraId="5CE4DBE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D5EA2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38529A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69B775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3EC4C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102DF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BC0E3A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4C19487A" w14:textId="77777777" w:rsidTr="003466AE">
        <w:tc>
          <w:tcPr>
            <w:tcW w:w="4942" w:type="dxa"/>
            <w:shd w:val="clear" w:color="auto" w:fill="ED7D31"/>
          </w:tcPr>
          <w:p w14:paraId="38598ECF" w14:textId="0B5D584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F76C68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EC87AB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80B8F9D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E916E2D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4638"/>
      </w:tblGrid>
      <w:tr w:rsidR="0070015F" w14:paraId="10403318" w14:textId="77777777" w:rsidTr="0070015F">
        <w:tc>
          <w:tcPr>
            <w:tcW w:w="7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3C7CA7" w14:textId="35BFBE5C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Status ved afslutning af </w:t>
            </w:r>
            <w:r w:rsidR="006047E1">
              <w:rPr>
                <w:rFonts w:ascii="Calibri" w:hAnsi="Calibri" w:cs="Calibri"/>
                <w:sz w:val="22"/>
                <w:szCs w:val="22"/>
              </w:rPr>
              <w:t>oplæringsforløbet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som supplement til ovenstående hjælpeskema.</w:t>
            </w:r>
          </w:p>
          <w:p w14:paraId="4786F75F" w14:textId="49A0840A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Relevante informationer til næste skole- og </w:t>
            </w:r>
            <w:r w:rsidR="006047E1">
              <w:rPr>
                <w:rFonts w:ascii="Calibri" w:hAnsi="Calibri" w:cs="Calibri"/>
                <w:sz w:val="22"/>
                <w:szCs w:val="22"/>
              </w:rPr>
              <w:t>oplæringsforløb</w:t>
            </w:r>
            <w:r>
              <w:rPr>
                <w:rFonts w:ascii="Calibri" w:hAnsi="Calibri" w:cs="Calibri"/>
                <w:sz w:val="22"/>
                <w:szCs w:val="22"/>
              </w:rPr>
              <w:t>, med udgangspunkt i det pædagogiske redskab til vurdering.</w:t>
            </w:r>
          </w:p>
        </w:tc>
        <w:tc>
          <w:tcPr>
            <w:tcW w:w="9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CCD626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Kommentarer på baggrund af dialog mellem elev og vejleder.</w:t>
            </w:r>
          </w:p>
        </w:tc>
      </w:tr>
      <w:tr w:rsidR="0070015F" w14:paraId="49A10637" w14:textId="77777777" w:rsidTr="0070015F">
        <w:tc>
          <w:tcPr>
            <w:tcW w:w="75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4D78B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Faglige kompetencer</w:t>
            </w:r>
          </w:p>
          <w:p w14:paraId="10FDAF57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Personlige kompetencer</w:t>
            </w:r>
          </w:p>
          <w:p w14:paraId="6F3C46CA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Behov for studiestøtte</w:t>
            </w:r>
          </w:p>
          <w:p w14:paraId="76749756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Stabilitet</w:t>
            </w:r>
          </w:p>
          <w:p w14:paraId="05491AB0" w14:textId="0674B10C" w:rsidR="0070015F" w:rsidRPr="00236AE4" w:rsidRDefault="0070015F" w:rsidP="00236AE4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Trivsel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184D0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D3B250C" w14:textId="45B8DBF8" w:rsidR="0070015F" w:rsidRPr="00236AE4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70015F" w:rsidRPr="00236A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5890"/>
    <w:multiLevelType w:val="multilevel"/>
    <w:tmpl w:val="A58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5287A"/>
    <w:multiLevelType w:val="multilevel"/>
    <w:tmpl w:val="3A9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77D45"/>
    <w:multiLevelType w:val="multilevel"/>
    <w:tmpl w:val="025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A18"/>
    <w:rsid w:val="000F0CDC"/>
    <w:rsid w:val="001D1933"/>
    <w:rsid w:val="00236AE4"/>
    <w:rsid w:val="0034477B"/>
    <w:rsid w:val="003466AE"/>
    <w:rsid w:val="003D7E0C"/>
    <w:rsid w:val="00596A18"/>
    <w:rsid w:val="006047E1"/>
    <w:rsid w:val="00660B21"/>
    <w:rsid w:val="006A4889"/>
    <w:rsid w:val="0070015F"/>
    <w:rsid w:val="007074F2"/>
    <w:rsid w:val="007A3D48"/>
    <w:rsid w:val="007B2884"/>
    <w:rsid w:val="007E7D60"/>
    <w:rsid w:val="00874843"/>
    <w:rsid w:val="00BC2CD8"/>
    <w:rsid w:val="00D5332A"/>
    <w:rsid w:val="00D603CC"/>
    <w:rsid w:val="00E850CD"/>
    <w:rsid w:val="00ED766C"/>
    <w:rsid w:val="00F7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838E2"/>
  <w15:chartTrackingRefBased/>
  <w15:docId w15:val="{F3E2E3FA-9FF5-4C5B-8ECA-BC8420ED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F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39"/>
    <w:rsid w:val="00D60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46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eli/lta/2020/2304" TargetMode="External"/><Relationship Id="rId5" Type="http://schemas.openxmlformats.org/officeDocument/2006/relationships/hyperlink" Target="https://www.sevu.dk/fevu/social-og-sundhedsassistent-alt-om-prakt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2047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Links>
    <vt:vector size="12" baseType="variant"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https://www.retsinformation.dk/eli/lta/2020/2304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https://www.sevu.dk/fevu/social-og-sundhedsassistent-alt-om-praktik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Lydik Rønde Almst</dc:creator>
  <cp:keywords/>
  <dc:description/>
  <cp:lastModifiedBy>Anette Degn Larsen</cp:lastModifiedBy>
  <cp:revision>6</cp:revision>
  <dcterms:created xsi:type="dcterms:W3CDTF">2021-11-09T13:17:00Z</dcterms:created>
  <dcterms:modified xsi:type="dcterms:W3CDTF">2022-07-05T10:48:00Z</dcterms:modified>
</cp:coreProperties>
</file>