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5D" w:rsidRPr="004B41D1" w:rsidRDefault="00930590">
      <w:pPr>
        <w:rPr>
          <w:b/>
        </w:rPr>
      </w:pPr>
      <w:r w:rsidRPr="004B41D1">
        <w:rPr>
          <w:b/>
        </w:rPr>
        <w:t>Hjælpeskema til Praktikmål – præstationsstandarder</w:t>
      </w:r>
    </w:p>
    <w:p w:rsidR="005828D1" w:rsidRDefault="005828D1" w:rsidP="005828D1">
      <w:r>
        <w:t>Hjælpeskemaet indeholder praktikmålene og praktikstedet skal afkrydse og uddybe elevens indsats og begrunde denne vurdering af elevens præstation</w:t>
      </w:r>
    </w:p>
    <w:p w:rsidR="005828D1" w:rsidRDefault="005828D1" w:rsidP="005828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828D1" w:rsidTr="0072199E">
        <w:tc>
          <w:tcPr>
            <w:tcW w:w="2689" w:type="dxa"/>
            <w:shd w:val="clear" w:color="auto" w:fill="D9D9D9" w:themeFill="background1" w:themeFillShade="D9"/>
          </w:tcPr>
          <w:p w:rsidR="005828D1" w:rsidRDefault="005828D1" w:rsidP="0072199E">
            <w:r>
              <w:t>1.praktikperiode</w:t>
            </w:r>
          </w:p>
        </w:tc>
        <w:tc>
          <w:tcPr>
            <w:tcW w:w="6939" w:type="dxa"/>
          </w:tcPr>
          <w:p w:rsidR="005828D1" w:rsidRDefault="005828D1" w:rsidP="0072199E">
            <w:r>
              <w:t>Gråt betyder at eleven forventes at nå målene på dette niveau i første del af første praktikperiode</w:t>
            </w:r>
          </w:p>
        </w:tc>
      </w:tr>
      <w:tr w:rsidR="005828D1" w:rsidTr="0072199E">
        <w:tc>
          <w:tcPr>
            <w:tcW w:w="2689" w:type="dxa"/>
            <w:shd w:val="clear" w:color="auto" w:fill="BDD6EE" w:themeFill="accent1" w:themeFillTint="66"/>
          </w:tcPr>
          <w:p w:rsidR="005828D1" w:rsidRDefault="005828D1" w:rsidP="0072199E">
            <w:r>
              <w:t>1.praktikperiode</w:t>
            </w:r>
          </w:p>
          <w:p w:rsidR="005828D1" w:rsidRDefault="005828D1" w:rsidP="0072199E"/>
        </w:tc>
        <w:tc>
          <w:tcPr>
            <w:tcW w:w="6939" w:type="dxa"/>
          </w:tcPr>
          <w:p w:rsidR="005828D1" w:rsidRDefault="005828D1" w:rsidP="0072199E">
            <w:r>
              <w:t>Blåt betyder, at eleven forventes at nå målene på dette niveau i første praktikperiode</w:t>
            </w:r>
          </w:p>
        </w:tc>
      </w:tr>
      <w:tr w:rsidR="005828D1" w:rsidTr="0072199E">
        <w:tc>
          <w:tcPr>
            <w:tcW w:w="2689" w:type="dxa"/>
            <w:shd w:val="clear" w:color="auto" w:fill="F7CAAC" w:themeFill="accent2" w:themeFillTint="66"/>
          </w:tcPr>
          <w:p w:rsidR="005828D1" w:rsidRDefault="005828D1" w:rsidP="0072199E">
            <w:r>
              <w:t>2. praktikperiode</w:t>
            </w:r>
          </w:p>
          <w:p w:rsidR="005828D1" w:rsidRDefault="005828D1" w:rsidP="0072199E"/>
        </w:tc>
        <w:tc>
          <w:tcPr>
            <w:tcW w:w="6939" w:type="dxa"/>
          </w:tcPr>
          <w:p w:rsidR="005828D1" w:rsidRDefault="005828D1" w:rsidP="0072199E">
            <w:r>
              <w:t>Rødt betyder, at eleven forventes at nå dette mål på det niveau i anden praktikperiode</w:t>
            </w:r>
          </w:p>
        </w:tc>
      </w:tr>
    </w:tbl>
    <w:p w:rsidR="005828D1" w:rsidRDefault="005828D1"/>
    <w:p w:rsidR="005828D1" w:rsidRDefault="005828D1"/>
    <w:p w:rsidR="005828D1" w:rsidRDefault="005828D1"/>
    <w:p w:rsidR="005828D1" w:rsidRPr="004B41D1" w:rsidRDefault="005828D1">
      <w:pPr>
        <w:rPr>
          <w:b/>
        </w:rPr>
      </w:pPr>
      <w:r w:rsidRPr="004B41D1">
        <w:rPr>
          <w:b/>
        </w:rPr>
        <w:t>Begynderniveau</w:t>
      </w:r>
    </w:p>
    <w:p w:rsidR="00601725" w:rsidRDefault="00601725">
      <w:r>
        <w:t>Eleven kan løse en opgave og udføre en aktivitet i en kendt situation eller ud fra en kendt problemstilling eller kan udføre en mere kompliceret aktivitet under vejledning.</w:t>
      </w:r>
    </w:p>
    <w:p w:rsidR="00601725" w:rsidRDefault="00601725">
      <w:r>
        <w:t>På dette niveau lægges der vægt på personlig kompetence til at sætte sig ind i uddannelsens fundamentale kundskabs – og færdighedsområder og kompetence til at udvikle ansvarlighed og grundlag for fortsat læring. På begynderniveau grundlægges ligeledes selvstændighed i opgavelæsning.</w:t>
      </w:r>
    </w:p>
    <w:p w:rsidR="005828D1" w:rsidRPr="004B41D1" w:rsidRDefault="005828D1">
      <w:pPr>
        <w:rPr>
          <w:b/>
        </w:rPr>
      </w:pPr>
      <w:r w:rsidRPr="004B41D1">
        <w:rPr>
          <w:b/>
        </w:rPr>
        <w:t>Rutineret niveau</w:t>
      </w:r>
    </w:p>
    <w:p w:rsidR="00601725" w:rsidRDefault="00601725">
      <w:r>
        <w:t>Eleven kan planlægge og gennemføre en opgave eller aktivitet eller løse et problem i en rutinemæssig eller kendt situation og omgivelser, alene og i samarbejde med andre.</w:t>
      </w:r>
    </w:p>
    <w:p w:rsidR="00601725" w:rsidRDefault="00601725">
      <w:r>
        <w:t>På dette niveau lægges vægt på den personlige kompetence til selvstændigt at sætte sig ind i mere kompliceret problemstillinger og til at kommunikere med andre om løsningen heraf. Ydereligere lægges vægt på fleksibilitet og omstillingsevne.</w:t>
      </w:r>
    </w:p>
    <w:p w:rsidR="005828D1" w:rsidRPr="004B41D1" w:rsidRDefault="005828D1">
      <w:pPr>
        <w:rPr>
          <w:b/>
        </w:rPr>
      </w:pPr>
      <w:r w:rsidRPr="004B41D1">
        <w:rPr>
          <w:b/>
        </w:rPr>
        <w:t>Avanceret niveau</w:t>
      </w:r>
    </w:p>
    <w:p w:rsidR="00601725" w:rsidRDefault="00601725">
      <w:r>
        <w:t>Eleven kan vurdere et problem, kan planlægge, løse og gennemføre en opgave eller aktivitet eller løse et problem også i en ikke-rutinesituation – alene eller i samarbejde med under – under hensyn til opgavens art.</w:t>
      </w:r>
    </w:p>
    <w:p w:rsidR="004B41D1" w:rsidRDefault="00601725">
      <w:r>
        <w:t>På dette niveau lægges vægt på den personlige kompetenc</w:t>
      </w:r>
      <w:r w:rsidR="004B41D1">
        <w:t>e til at tage selvstændigt ansva</w:t>
      </w:r>
      <w:r>
        <w:t xml:space="preserve">r og vise </w:t>
      </w:r>
      <w:r w:rsidR="004B41D1">
        <w:t>initiativ</w:t>
      </w:r>
    </w:p>
    <w:p w:rsidR="004B41D1" w:rsidRDefault="004B41D1">
      <w:r>
        <w:t>Samt kompetence til selv at formulere og løse faglige og sociale opgaver og problemer. Yderligere lægges vægt på kvalitetssans og kreativitet.</w:t>
      </w:r>
    </w:p>
    <w:p w:rsidR="00601725" w:rsidRDefault="004B41D1">
      <w:r>
        <w:t xml:space="preserve"> </w:t>
      </w:r>
    </w:p>
    <w:p w:rsidR="00601725" w:rsidRDefault="00601725"/>
    <w:p w:rsidR="005828D1" w:rsidRDefault="005828D1"/>
    <w:p w:rsidR="004B41D1" w:rsidRDefault="004B41D1"/>
    <w:p w:rsidR="00930590" w:rsidRPr="004B41D1" w:rsidRDefault="00930590">
      <w:pPr>
        <w:rPr>
          <w:b/>
        </w:rPr>
      </w:pPr>
      <w:r w:rsidRPr="004B41D1">
        <w:rPr>
          <w:b/>
        </w:rPr>
        <w:t>Praktikperiode 1</w:t>
      </w:r>
      <w:r w:rsidR="004B41D1">
        <w:rPr>
          <w:b/>
        </w:rPr>
        <w:t>(1 del</w:t>
      </w:r>
      <w:r w:rsidR="005828D1" w:rsidRPr="004B41D1">
        <w:rPr>
          <w:b/>
        </w:rPr>
        <w:t>)</w:t>
      </w:r>
    </w:p>
    <w:p w:rsidR="005828D1" w:rsidRDefault="005828D1">
      <w:r>
        <w:t>I praktikperioden arbejdes der med nedenstående mål, men der skal ikke forekomme en endelig bedømmelse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3"/>
        <w:gridCol w:w="1905"/>
        <w:gridCol w:w="1906"/>
        <w:gridCol w:w="1907"/>
        <w:gridCol w:w="1917"/>
      </w:tblGrid>
      <w:tr w:rsidR="00930590" w:rsidTr="00930590">
        <w:tc>
          <w:tcPr>
            <w:tcW w:w="1925" w:type="dxa"/>
          </w:tcPr>
          <w:p w:rsidR="00930590" w:rsidRDefault="00930590">
            <w:r>
              <w:t>Mål for praktikuddannelsen</w:t>
            </w:r>
          </w:p>
        </w:tc>
        <w:tc>
          <w:tcPr>
            <w:tcW w:w="1925" w:type="dxa"/>
          </w:tcPr>
          <w:p w:rsidR="00930590" w:rsidRDefault="00930590">
            <w:r>
              <w:t>Begynder</w:t>
            </w:r>
          </w:p>
        </w:tc>
        <w:tc>
          <w:tcPr>
            <w:tcW w:w="1926" w:type="dxa"/>
          </w:tcPr>
          <w:p w:rsidR="00930590" w:rsidRDefault="00930590">
            <w:r>
              <w:t>Rutineret</w:t>
            </w:r>
          </w:p>
        </w:tc>
        <w:tc>
          <w:tcPr>
            <w:tcW w:w="1926" w:type="dxa"/>
          </w:tcPr>
          <w:p w:rsidR="00930590" w:rsidRDefault="00930590">
            <w:r>
              <w:t>Avanceret</w:t>
            </w:r>
          </w:p>
        </w:tc>
        <w:tc>
          <w:tcPr>
            <w:tcW w:w="1926" w:type="dxa"/>
          </w:tcPr>
          <w:p w:rsidR="00930590" w:rsidRDefault="00930590">
            <w:r>
              <w:t>Bemærkninger</w:t>
            </w:r>
          </w:p>
        </w:tc>
      </w:tr>
      <w:tr w:rsidR="00930590" w:rsidTr="00E31080">
        <w:tc>
          <w:tcPr>
            <w:tcW w:w="1925" w:type="dxa"/>
          </w:tcPr>
          <w:p w:rsidR="00930590" w:rsidRDefault="005828D1">
            <w:r>
              <w:t>Mål 4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</w:tr>
      <w:tr w:rsidR="00930590" w:rsidTr="00E31080">
        <w:tc>
          <w:tcPr>
            <w:tcW w:w="1925" w:type="dxa"/>
          </w:tcPr>
          <w:p w:rsidR="00930590" w:rsidRDefault="005828D1">
            <w:r>
              <w:t>Mål 5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</w:tr>
      <w:tr w:rsidR="00930590" w:rsidTr="00E31080">
        <w:tc>
          <w:tcPr>
            <w:tcW w:w="1925" w:type="dxa"/>
          </w:tcPr>
          <w:p w:rsidR="00930590" w:rsidRDefault="00930590">
            <w:r>
              <w:t>Mål</w:t>
            </w:r>
            <w:r w:rsidR="005828D1">
              <w:t xml:space="preserve"> 11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  <w:tc>
          <w:tcPr>
            <w:tcW w:w="1926" w:type="dxa"/>
          </w:tcPr>
          <w:p w:rsidR="00930590" w:rsidRDefault="00930590"/>
        </w:tc>
      </w:tr>
    </w:tbl>
    <w:p w:rsidR="00930590" w:rsidRDefault="00930590"/>
    <w:p w:rsidR="00930590" w:rsidRPr="004B41D1" w:rsidRDefault="00930590" w:rsidP="00930590">
      <w:pPr>
        <w:rPr>
          <w:b/>
        </w:rPr>
      </w:pPr>
      <w:r w:rsidRPr="004B41D1">
        <w:rPr>
          <w:b/>
        </w:rPr>
        <w:t>Praktikperiode 1</w:t>
      </w:r>
      <w:r w:rsidR="004B41D1">
        <w:rPr>
          <w:b/>
        </w:rPr>
        <w:t>(2 del)</w:t>
      </w:r>
    </w:p>
    <w:p w:rsidR="00E31080" w:rsidRDefault="00E31080" w:rsidP="00930590">
      <w:r>
        <w:t>Ved midtvejsmøder og ved periodens afslutning vurderes og begrundes, om eleven har nået det forventede niveau.</w:t>
      </w:r>
    </w:p>
    <w:p w:rsidR="00E31080" w:rsidRDefault="00E31080" w:rsidP="00930590">
      <w:r>
        <w:t>Der kan være grunde til, at eleven ikke har nået alle mål for den forventede niveau, uden at det nødvendigvis betyder, at eleven ikke kan få godkendt sin praktik.</w:t>
      </w:r>
    </w:p>
    <w:p w:rsidR="00E31080" w:rsidRDefault="00E31080" w:rsidP="00930590">
      <w:r>
        <w:t>Praktikstedet bør dog have en forventning om, at det endelige niveau kan nås inden uddannelsens afslutning</w:t>
      </w:r>
    </w:p>
    <w:p w:rsidR="00E31080" w:rsidRDefault="00E31080" w:rsidP="00930590"/>
    <w:p w:rsidR="00E31080" w:rsidRDefault="00E31080" w:rsidP="009305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3"/>
        <w:gridCol w:w="1905"/>
        <w:gridCol w:w="1906"/>
        <w:gridCol w:w="1907"/>
        <w:gridCol w:w="1917"/>
      </w:tblGrid>
      <w:tr w:rsidR="00930590" w:rsidTr="0072199E">
        <w:tc>
          <w:tcPr>
            <w:tcW w:w="1925" w:type="dxa"/>
          </w:tcPr>
          <w:p w:rsidR="00930590" w:rsidRDefault="00930590" w:rsidP="0072199E">
            <w:r>
              <w:t>Mål for praktikuddannelsen</w:t>
            </w:r>
          </w:p>
        </w:tc>
        <w:tc>
          <w:tcPr>
            <w:tcW w:w="1925" w:type="dxa"/>
          </w:tcPr>
          <w:p w:rsidR="00930590" w:rsidRDefault="00930590" w:rsidP="0072199E">
            <w:r>
              <w:t>Begynder</w:t>
            </w:r>
          </w:p>
        </w:tc>
        <w:tc>
          <w:tcPr>
            <w:tcW w:w="1926" w:type="dxa"/>
          </w:tcPr>
          <w:p w:rsidR="00930590" w:rsidRDefault="00930590" w:rsidP="0072199E">
            <w:r>
              <w:t>Rutineret</w:t>
            </w:r>
          </w:p>
        </w:tc>
        <w:tc>
          <w:tcPr>
            <w:tcW w:w="1926" w:type="dxa"/>
          </w:tcPr>
          <w:p w:rsidR="00930590" w:rsidRDefault="00930590" w:rsidP="0072199E">
            <w:r>
              <w:t>Avanceret</w:t>
            </w:r>
          </w:p>
        </w:tc>
        <w:tc>
          <w:tcPr>
            <w:tcW w:w="1926" w:type="dxa"/>
          </w:tcPr>
          <w:p w:rsidR="00930590" w:rsidRDefault="00930590" w:rsidP="0072199E">
            <w:r>
              <w:t>Bemærkninger</w:t>
            </w:r>
          </w:p>
        </w:tc>
      </w:tr>
      <w:tr w:rsidR="00930590" w:rsidTr="00E31080">
        <w:tc>
          <w:tcPr>
            <w:tcW w:w="1925" w:type="dxa"/>
          </w:tcPr>
          <w:p w:rsidR="00930590" w:rsidRDefault="00930590" w:rsidP="0072199E">
            <w:r>
              <w:t>Mål 1</w:t>
            </w:r>
          </w:p>
        </w:tc>
        <w:tc>
          <w:tcPr>
            <w:tcW w:w="1925" w:type="dxa"/>
          </w:tcPr>
          <w:p w:rsidR="00930590" w:rsidRDefault="00930590" w:rsidP="0072199E"/>
        </w:tc>
        <w:tc>
          <w:tcPr>
            <w:tcW w:w="1926" w:type="dxa"/>
            <w:shd w:val="clear" w:color="auto" w:fill="BDD6EE" w:themeFill="accent1" w:themeFillTint="66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</w:tr>
      <w:tr w:rsidR="00930590" w:rsidTr="00E31080">
        <w:tc>
          <w:tcPr>
            <w:tcW w:w="1925" w:type="dxa"/>
          </w:tcPr>
          <w:p w:rsidR="00930590" w:rsidRDefault="00930590" w:rsidP="0072199E">
            <w:r>
              <w:t>Mål 2</w:t>
            </w:r>
          </w:p>
        </w:tc>
        <w:tc>
          <w:tcPr>
            <w:tcW w:w="1925" w:type="dxa"/>
          </w:tcPr>
          <w:p w:rsidR="00930590" w:rsidRDefault="00930590" w:rsidP="0072199E"/>
        </w:tc>
        <w:tc>
          <w:tcPr>
            <w:tcW w:w="1926" w:type="dxa"/>
            <w:shd w:val="clear" w:color="auto" w:fill="BDD6EE" w:themeFill="accent1" w:themeFillTint="66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</w:tr>
      <w:tr w:rsidR="00930590" w:rsidTr="00AE25B4">
        <w:tc>
          <w:tcPr>
            <w:tcW w:w="1925" w:type="dxa"/>
          </w:tcPr>
          <w:p w:rsidR="00930590" w:rsidRDefault="00930590" w:rsidP="0072199E">
            <w:r>
              <w:t>Mål 3</w:t>
            </w:r>
            <w:bookmarkStart w:id="0" w:name="_GoBack"/>
            <w:bookmarkEnd w:id="0"/>
          </w:p>
        </w:tc>
        <w:tc>
          <w:tcPr>
            <w:tcW w:w="1925" w:type="dxa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  <w:tc>
          <w:tcPr>
            <w:tcW w:w="1926" w:type="dxa"/>
            <w:shd w:val="clear" w:color="auto" w:fill="BDD6EE" w:themeFill="accent1" w:themeFillTint="66"/>
          </w:tcPr>
          <w:p w:rsidR="00930590" w:rsidRDefault="00930590" w:rsidP="0072199E"/>
        </w:tc>
        <w:tc>
          <w:tcPr>
            <w:tcW w:w="1926" w:type="dxa"/>
          </w:tcPr>
          <w:p w:rsidR="00930590" w:rsidRDefault="00930590" w:rsidP="0072199E"/>
        </w:tc>
      </w:tr>
      <w:tr w:rsidR="008264D1" w:rsidTr="00AE25B4">
        <w:tc>
          <w:tcPr>
            <w:tcW w:w="1925" w:type="dxa"/>
          </w:tcPr>
          <w:p w:rsidR="008264D1" w:rsidRDefault="008264D1" w:rsidP="0072199E">
            <w:r>
              <w:t>Mål 4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AE25B4">
        <w:tc>
          <w:tcPr>
            <w:tcW w:w="1925" w:type="dxa"/>
          </w:tcPr>
          <w:p w:rsidR="008264D1" w:rsidRDefault="008264D1" w:rsidP="0072199E">
            <w:r>
              <w:t>Mål 5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6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7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8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9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10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11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E41FA2">
        <w:tc>
          <w:tcPr>
            <w:tcW w:w="1925" w:type="dxa"/>
          </w:tcPr>
          <w:p w:rsidR="008264D1" w:rsidRDefault="008264D1" w:rsidP="0072199E">
            <w:r>
              <w:t>Mål 12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E41FA2">
        <w:tc>
          <w:tcPr>
            <w:tcW w:w="1925" w:type="dxa"/>
          </w:tcPr>
          <w:p w:rsidR="008264D1" w:rsidRDefault="008264D1" w:rsidP="0072199E">
            <w:r>
              <w:t>Mål 13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14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15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16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17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575C45">
        <w:tc>
          <w:tcPr>
            <w:tcW w:w="1925" w:type="dxa"/>
          </w:tcPr>
          <w:p w:rsidR="008264D1" w:rsidRDefault="008264D1" w:rsidP="0072199E">
            <w:r>
              <w:t>Mål 18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</w:tbl>
    <w:p w:rsidR="00930590" w:rsidRDefault="00930590"/>
    <w:p w:rsidR="004B41D1" w:rsidRDefault="004B41D1"/>
    <w:p w:rsidR="00930590" w:rsidRDefault="00930590"/>
    <w:p w:rsidR="008264D1" w:rsidRPr="004B41D1" w:rsidRDefault="008264D1" w:rsidP="008264D1">
      <w:pPr>
        <w:rPr>
          <w:b/>
        </w:rPr>
      </w:pPr>
      <w:r w:rsidRPr="004B41D1">
        <w:rPr>
          <w:b/>
        </w:rPr>
        <w:t>Praktikperiode 2</w:t>
      </w:r>
    </w:p>
    <w:p w:rsidR="00575C45" w:rsidRDefault="00575C45" w:rsidP="00575C45">
      <w:r>
        <w:lastRenderedPageBreak/>
        <w:t>Ved midtvejsmøder og ved periodens afslutning vurderes og begrundes, om eleven har nået det forventede niveau.</w:t>
      </w:r>
    </w:p>
    <w:p w:rsidR="00575C45" w:rsidRDefault="00575C45" w:rsidP="00575C45">
      <w:r>
        <w:t>Der kan være grunde til, at eleven ikke har nået alle mål for den forventede niveau, uden at det nødvendigvis betyder, at eleven ikke kan få godkendt sin praktik.</w:t>
      </w:r>
    </w:p>
    <w:p w:rsidR="00575C45" w:rsidRDefault="00575C45" w:rsidP="00575C45">
      <w:r>
        <w:t>Praktikstedet bør dog have en forventning om, at det endelige niveau kan nås inden uddannelsens afslutning</w:t>
      </w:r>
      <w:r w:rsidR="00574BA1">
        <w:t>.</w:t>
      </w:r>
    </w:p>
    <w:p w:rsidR="00574BA1" w:rsidRDefault="00574BA1" w:rsidP="00575C45">
      <w:r w:rsidRPr="00574BA1">
        <w:rPr>
          <w:i/>
        </w:rPr>
        <w:t>Avanceret niveau</w:t>
      </w:r>
      <w:r>
        <w:t xml:space="preserve"> er hvor opgaven løses i ikke-rutinesituationer. Kan vurdere et problem og kan planlægge, løse og gennemfører sociale og faglige opgaver/aktiviteter.</w:t>
      </w:r>
    </w:p>
    <w:p w:rsidR="00574BA1" w:rsidRDefault="00574BA1" w:rsidP="00575C45">
      <w:r>
        <w:t>Eleven tager selvstændigt ansvar og løser problemer alene og eller i samarbejde. Eleven viser initiativ og lægger vægt på kvalitetssans og kreativitet.</w:t>
      </w:r>
    </w:p>
    <w:p w:rsidR="00574BA1" w:rsidRDefault="00574BA1" w:rsidP="00575C45">
      <w:r>
        <w:t>Eleven foretager handlinger hvor de afprøver, afgøre, vælger, træffer valg, igangsætter og udviser initiativ. Kan selvstændigt udføre handlinger.</w:t>
      </w:r>
    </w:p>
    <w:p w:rsidR="00575C45" w:rsidRDefault="00575C45" w:rsidP="008264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3"/>
        <w:gridCol w:w="1905"/>
        <w:gridCol w:w="1906"/>
        <w:gridCol w:w="1907"/>
        <w:gridCol w:w="1917"/>
      </w:tblGrid>
      <w:tr w:rsidR="008264D1" w:rsidTr="0072199E">
        <w:tc>
          <w:tcPr>
            <w:tcW w:w="1925" w:type="dxa"/>
          </w:tcPr>
          <w:p w:rsidR="008264D1" w:rsidRDefault="008264D1" w:rsidP="0072199E">
            <w:r>
              <w:t>Mål for praktikuddannelsen</w:t>
            </w:r>
          </w:p>
        </w:tc>
        <w:tc>
          <w:tcPr>
            <w:tcW w:w="1925" w:type="dxa"/>
          </w:tcPr>
          <w:p w:rsidR="008264D1" w:rsidRDefault="008264D1" w:rsidP="0072199E">
            <w:r>
              <w:t>Begynder</w:t>
            </w:r>
          </w:p>
        </w:tc>
        <w:tc>
          <w:tcPr>
            <w:tcW w:w="1926" w:type="dxa"/>
          </w:tcPr>
          <w:p w:rsidR="008264D1" w:rsidRDefault="008264D1" w:rsidP="0072199E">
            <w:r>
              <w:t>Rutineret</w:t>
            </w:r>
          </w:p>
        </w:tc>
        <w:tc>
          <w:tcPr>
            <w:tcW w:w="1926" w:type="dxa"/>
          </w:tcPr>
          <w:p w:rsidR="008264D1" w:rsidRDefault="008264D1" w:rsidP="0072199E">
            <w:r>
              <w:t>Avanceret</w:t>
            </w:r>
          </w:p>
        </w:tc>
        <w:tc>
          <w:tcPr>
            <w:tcW w:w="1926" w:type="dxa"/>
          </w:tcPr>
          <w:p w:rsidR="008264D1" w:rsidRDefault="008264D1" w:rsidP="0072199E">
            <w:r>
              <w:t>Bemærkninger</w:t>
            </w:r>
          </w:p>
        </w:tc>
      </w:tr>
      <w:tr w:rsidR="008264D1" w:rsidTr="00E31080">
        <w:tc>
          <w:tcPr>
            <w:tcW w:w="1925" w:type="dxa"/>
          </w:tcPr>
          <w:p w:rsidR="008264D1" w:rsidRDefault="008264D1" w:rsidP="0072199E">
            <w:r>
              <w:t>Mål 1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E31080">
        <w:tc>
          <w:tcPr>
            <w:tcW w:w="1925" w:type="dxa"/>
          </w:tcPr>
          <w:p w:rsidR="008264D1" w:rsidRDefault="008264D1" w:rsidP="0072199E">
            <w:r>
              <w:t>Mål 2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AE25B4">
        <w:tc>
          <w:tcPr>
            <w:tcW w:w="1925" w:type="dxa"/>
          </w:tcPr>
          <w:p w:rsidR="008264D1" w:rsidRDefault="008264D1" w:rsidP="0072199E">
            <w:r>
              <w:t>Mål 3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AE25B4">
        <w:tc>
          <w:tcPr>
            <w:tcW w:w="1925" w:type="dxa"/>
          </w:tcPr>
          <w:p w:rsidR="008264D1" w:rsidRDefault="008264D1" w:rsidP="0072199E">
            <w:r>
              <w:t>Mål 4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AE25B4">
        <w:tc>
          <w:tcPr>
            <w:tcW w:w="1925" w:type="dxa"/>
          </w:tcPr>
          <w:p w:rsidR="008264D1" w:rsidRDefault="008264D1" w:rsidP="0072199E">
            <w:r>
              <w:t>Mål 5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6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7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8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9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10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685A5C">
        <w:tc>
          <w:tcPr>
            <w:tcW w:w="1925" w:type="dxa"/>
          </w:tcPr>
          <w:p w:rsidR="008264D1" w:rsidRDefault="008264D1" w:rsidP="0072199E">
            <w:r>
              <w:t>Mål 11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E41FA2">
        <w:tc>
          <w:tcPr>
            <w:tcW w:w="1925" w:type="dxa"/>
          </w:tcPr>
          <w:p w:rsidR="008264D1" w:rsidRDefault="008264D1" w:rsidP="0072199E">
            <w:r>
              <w:t>Mål 12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E41FA2">
        <w:tc>
          <w:tcPr>
            <w:tcW w:w="1925" w:type="dxa"/>
          </w:tcPr>
          <w:p w:rsidR="008264D1" w:rsidRDefault="008264D1" w:rsidP="0072199E">
            <w:r>
              <w:t>Mål 13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Pr="00E41FA2" w:rsidRDefault="008264D1" w:rsidP="0072199E">
            <w:pPr>
              <w:rPr>
                <w:color w:val="F7CAAC" w:themeColor="accent2" w:themeTint="66"/>
              </w:rPr>
            </w:pPr>
          </w:p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14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Pr="00932AD4" w:rsidRDefault="008264D1" w:rsidP="0072199E">
            <w:pPr>
              <w:rPr>
                <w:color w:val="F7CAAC" w:themeColor="accent2" w:themeTint="66"/>
              </w:rPr>
            </w:pPr>
          </w:p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15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Pr="00932AD4" w:rsidRDefault="008264D1" w:rsidP="0072199E">
            <w:pPr>
              <w:rPr>
                <w:color w:val="FBE4D5" w:themeColor="accent2" w:themeTint="33"/>
              </w:rPr>
            </w:pPr>
          </w:p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16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932AD4">
        <w:tc>
          <w:tcPr>
            <w:tcW w:w="1925" w:type="dxa"/>
          </w:tcPr>
          <w:p w:rsidR="008264D1" w:rsidRDefault="008264D1" w:rsidP="0072199E">
            <w:r>
              <w:t>Mål 17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  <w:tr w:rsidR="008264D1" w:rsidTr="00575C45">
        <w:tc>
          <w:tcPr>
            <w:tcW w:w="1925" w:type="dxa"/>
          </w:tcPr>
          <w:p w:rsidR="008264D1" w:rsidRDefault="008264D1" w:rsidP="0072199E">
            <w:r>
              <w:t>Mål 18</w:t>
            </w:r>
          </w:p>
        </w:tc>
        <w:tc>
          <w:tcPr>
            <w:tcW w:w="1925" w:type="dxa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  <w:tc>
          <w:tcPr>
            <w:tcW w:w="1926" w:type="dxa"/>
            <w:shd w:val="clear" w:color="auto" w:fill="F7CAAC" w:themeFill="accent2" w:themeFillTint="66"/>
          </w:tcPr>
          <w:p w:rsidR="008264D1" w:rsidRDefault="008264D1" w:rsidP="0072199E"/>
        </w:tc>
        <w:tc>
          <w:tcPr>
            <w:tcW w:w="1926" w:type="dxa"/>
          </w:tcPr>
          <w:p w:rsidR="008264D1" w:rsidRDefault="008264D1" w:rsidP="0072199E"/>
        </w:tc>
      </w:tr>
    </w:tbl>
    <w:p w:rsidR="008264D1" w:rsidRDefault="008264D1" w:rsidP="008264D1"/>
    <w:p w:rsidR="00930590" w:rsidRDefault="008264D1">
      <w:r>
        <w:t>Praktikerklæringen skal være vedhæfte ovenstående hjælpeskema</w:t>
      </w:r>
    </w:p>
    <w:p w:rsidR="008264D1" w:rsidRDefault="008264D1"/>
    <w:p w:rsidR="008264D1" w:rsidRDefault="008264D1"/>
    <w:p w:rsidR="008264D1" w:rsidRDefault="008264D1"/>
    <w:p w:rsidR="008264D1" w:rsidRDefault="008264D1"/>
    <w:p w:rsidR="008264D1" w:rsidRDefault="008264D1"/>
    <w:p w:rsidR="008264D1" w:rsidRDefault="008264D1"/>
    <w:sectPr w:rsidR="008264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0E53"/>
    <w:multiLevelType w:val="hybridMultilevel"/>
    <w:tmpl w:val="931874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0"/>
    <w:rsid w:val="0010447F"/>
    <w:rsid w:val="004B41D1"/>
    <w:rsid w:val="004C4366"/>
    <w:rsid w:val="00574BA1"/>
    <w:rsid w:val="00575C45"/>
    <w:rsid w:val="005828D1"/>
    <w:rsid w:val="00601725"/>
    <w:rsid w:val="00685A5C"/>
    <w:rsid w:val="007A1BA1"/>
    <w:rsid w:val="008264D1"/>
    <w:rsid w:val="008705AE"/>
    <w:rsid w:val="00930590"/>
    <w:rsid w:val="00932AD4"/>
    <w:rsid w:val="00A13B8F"/>
    <w:rsid w:val="00AE25B4"/>
    <w:rsid w:val="00E2155D"/>
    <w:rsid w:val="00E31080"/>
    <w:rsid w:val="00E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31E8-5FB4-4497-B21C-1FA7BFB0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3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828D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Borup Lyngby Pedersen</dc:creator>
  <cp:keywords/>
  <dc:description/>
  <cp:lastModifiedBy>Laura Sundtoft (LSU | SOSUR)</cp:lastModifiedBy>
  <cp:revision>2</cp:revision>
  <cp:lastPrinted>2016-05-11T09:33:00Z</cp:lastPrinted>
  <dcterms:created xsi:type="dcterms:W3CDTF">2017-11-20T12:22:00Z</dcterms:created>
  <dcterms:modified xsi:type="dcterms:W3CDTF">2017-11-20T12:22:00Z</dcterms:modified>
</cp:coreProperties>
</file>